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C1C" w:rsidP="00C32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TLIX0042 Determine complex tariff classifications</w:t>
      </w:r>
      <w:r>
        <w:fldChar w:fldCharType="end"/>
      </w:r>
    </w:p>
    <w:p w:rsidR="00C32C1C" w:rsidP="00C32C1C">
      <w:pPr>
        <w:pStyle w:val="Version"/>
        <w:sectPr w:rsidSect="00EA5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769" w:rsidP="00EA5769">
      <w:pPr>
        <w:pStyle w:val="SuperHeading"/>
      </w:pPr>
      <w:r w:rsidRPr="00EA5769">
        <w:t>TLIX0042 Determine complex tariff classifications</w:t>
      </w:r>
    </w:p>
    <w:p w:rsidR="00000000" w:rsidRPr="00EA5769" w:rsidP="00EA5769">
      <w:pPr>
        <w:pStyle w:val="Heading1"/>
      </w:pPr>
      <w:bookmarkStart w:id="1" w:name="O_1232696"/>
      <w:bookmarkEnd w:id="1"/>
      <w:r w:rsidRPr="00EA57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Release 1</w:t>
            </w:r>
            <w:r w:rsidRPr="00EA5769">
              <w:t>. This is the first release of this unit of competency in the TLI Transport and Logistics Training Package.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2" w:name="O_1232697"/>
      <w:bookmarkEnd w:id="2"/>
      <w:r w:rsidRPr="00EA57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 xml:space="preserve">This unit involves the skills and knowledge required to classify goods for </w:t>
            </w:r>
            <w:r w:rsidRPr="00EA5769">
              <w:t>import and export of goods in accordance with the current Australian Customs Act, Customs Tariff Act and other relevant legislation.</w:t>
            </w:r>
          </w:p>
          <w:p w:rsidR="00000000" w:rsidRPr="00EA5769" w:rsidP="00EA5769">
            <w:pPr>
              <w:pStyle w:val="BodyText"/>
            </w:pPr>
            <w:r w:rsidRPr="00EA5769">
              <w:t xml:space="preserve">This unit applies to individuals working in the supply chain industry. Work must be carried in compliance with the current </w:t>
            </w:r>
            <w:r w:rsidRPr="00EA5769">
              <w:t>legislation.</w:t>
            </w:r>
          </w:p>
          <w:p w:rsidR="00000000" w:rsidRPr="00EA5769" w:rsidP="00EA5769">
            <w:pPr>
              <w:pStyle w:val="BodyText"/>
            </w:pPr>
            <w:r w:rsidRPr="00EA5769">
              <w:t>Work is undertaken in a range of environments, including small to large worksites, in the customs broking and international supply chain industries</w:t>
            </w:r>
          </w:p>
          <w:p w:rsidR="00000000" w:rsidRPr="00EA5769" w:rsidP="00EA5769">
            <w:pPr>
              <w:pStyle w:val="BodyText"/>
            </w:pPr>
            <w:r w:rsidRPr="00EA5769">
              <w:t>No licensing, legislative or certification requirements apply to this unit at the time of publi</w:t>
            </w:r>
            <w:r w:rsidRPr="00EA5769">
              <w:t>cation.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3" w:name="O_1232698"/>
      <w:bookmarkEnd w:id="3"/>
      <w:r w:rsidRPr="00EA57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>TLIX0036 Determine tariff classification of goods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4" w:name="O_1232699"/>
      <w:bookmarkEnd w:id="4"/>
      <w:r w:rsidRPr="00EA57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>X – Logistics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5" w:name="O_1232700"/>
      <w:bookmarkEnd w:id="5"/>
      <w:r w:rsidRPr="00EA57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>Not applicable.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6" w:name="O_1232701"/>
      <w:bookmarkEnd w:id="6"/>
      <w:r w:rsidRPr="00EA5769">
        <w:t>Elements and Performance Criteria</w:t>
      </w:r>
    </w:p>
    <w:tbl>
      <w:tblPr>
        <w:tblW w:w="95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26"/>
        <w:gridCol w:w="2856"/>
        <w:gridCol w:w="685"/>
        <w:gridCol w:w="5437"/>
      </w:tblGrid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ELEMENTS</w:t>
            </w:r>
          </w:p>
        </w:tc>
        <w:tc>
          <w:tcPr>
            <w:tcW w:w="61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PERFORMANCE CRITERIA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Elements describe the essential outcomes.</w:t>
            </w:r>
          </w:p>
        </w:tc>
        <w:tc>
          <w:tcPr>
            <w:tcW w:w="61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Performance criteria describe the performance needed to demonstrate achievement of the element.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1.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Interpret and apply legal notes for the classification of goods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1.1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Products requiring complex classification are reviewed to provide skilled identification of the product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1.2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Product is assessed based on legal principles and precedents resulting in val</w:t>
            </w:r>
            <w:r w:rsidRPr="00EA5769">
              <w:t>id identification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1.3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Resources required to classify goods such as metals, textiles, functional units, multifunction machines, sets, composite goods, parts, accessories and other complex goods are identified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1.4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Objective and analytical classification principles are applied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2.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Identify appropriate tariff headings and apply Legal Notes and General Rules of Interpretation (IRs)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2.1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 xml:space="preserve">Alternative headings are identified and assessed in accordance with Legal Notes and </w:t>
            </w:r>
            <w:r w:rsidRPr="00EA5769">
              <w:t>IRs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2.2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Administrative Appeals Tribunal (AAT) decisions and court cases are considered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2.3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Rejection of alternate headings is justified in accordance with Legal Notes and IRs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3.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Determine tariff classification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3.1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Appropriate tariff heading is determined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3.2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IRs 6 is applied, where appropriate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3.3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Sub-headings are interpreted in hierarchical order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3.4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Sub-heading notes are taken into consideration when determining tariff classification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3.5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Tariff classification is determined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>4.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rPr>
                <w:rStyle w:val="SpecialBold"/>
              </w:rPr>
              <w:t xml:space="preserve">Interpret and apply Schedule 4 </w:t>
            </w:r>
            <w:r w:rsidRPr="00EA5769">
              <w:t>i</w:t>
            </w:r>
            <w:r w:rsidRPr="00EA5769">
              <w:rPr>
                <w:rStyle w:val="SpecialBold"/>
              </w:rPr>
              <w:t>tems and associated by</w:t>
            </w:r>
            <w:r w:rsidRPr="00EA5769">
              <w:t>-</w:t>
            </w:r>
            <w:r w:rsidRPr="00EA5769">
              <w:rPr>
                <w:rStyle w:val="SpecialBold"/>
              </w:rPr>
              <w:t>laws and tariff concession orders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4.1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Relevant Schedule 4 items are identified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4.2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t>As prescribed by By-Law principles are reviewed to determine coverage of th</w:t>
            </w:r>
            <w:r w:rsidRPr="00EA5769">
              <w:t>e By-Law</w:t>
            </w:r>
          </w:p>
        </w:tc>
      </w:tr>
      <w:tr w:rsidTr="00EA5769">
        <w:tblPrEx>
          <w:tblW w:w="95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>
            <w:pPr>
              <w:pStyle w:val="BodyText"/>
              <w:keepLines w:val="0"/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69">
            <w:pPr>
              <w:pStyle w:val="BodyText"/>
              <w:rPr>
                <w:lang w:val="en-NZ"/>
              </w:rPr>
            </w:pPr>
            <w:r w:rsidRPr="00EA5769">
              <w:rPr>
                <w:rStyle w:val="SpecialBold"/>
              </w:rPr>
              <w:t>4.3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>Legal principles and case law are utilised to interpret the meaning of tariff concession order, where appropriate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7" w:name="O_1232702"/>
      <w:bookmarkEnd w:id="7"/>
      <w:r w:rsidRPr="00EA57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 xml:space="preserve">Foundation skills essential to performance are explicit in the performance criteria of this unit of </w:t>
            </w:r>
            <w:r w:rsidRPr="00EA5769">
              <w:t>competency.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8" w:name="O_1232703"/>
      <w:bookmarkEnd w:id="8"/>
      <w:r w:rsidRPr="00EA57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>Range is restricted to essential operating conditions and any other variables essential to the work en</w:t>
            </w:r>
            <w:r w:rsidRPr="00EA5769">
              <w:t>vironment.</w:t>
            </w:r>
          </w:p>
          <w:p w:rsidR="00000000" w:rsidRPr="00EA5769" w:rsidP="00EA5769">
            <w:pPr>
              <w:pStyle w:val="BodyText"/>
            </w:pPr>
            <w:r w:rsidRPr="00EA5769">
              <w:t>Non-essential conditions can be found in the TLI Transport and Logistics Training Package Companion Volume Implementation Guide.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9" w:name="O_1232704"/>
      <w:bookmarkEnd w:id="9"/>
      <w:r w:rsidRPr="00EA57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69" w:rsidP="00EA5769">
            <w:pPr>
              <w:pStyle w:val="BodyText"/>
            </w:pPr>
            <w:r w:rsidRPr="00EA5769">
              <w:t>This unit replaces but is not equivalent to TLIX5053 Determine tariff</w:t>
            </w:r>
            <w:r w:rsidRPr="00EA5769">
              <w:t xml:space="preserve"> classification for complex goods.</w:t>
            </w:r>
          </w:p>
        </w:tc>
      </w:tr>
    </w:tbl>
    <w:p w:rsidR="00C32C1C" w:rsidP="00EA5769">
      <w:pPr>
        <w:pStyle w:val="NoPaddingFontSize1"/>
      </w:pPr>
    </w:p>
    <w:p w:rsidR="00C32C1C" w:rsidP="00EA5769">
      <w:pPr>
        <w:pStyle w:val="NoPaddingFontSize1"/>
      </w:pPr>
    </w:p>
    <w:p w:rsidR="00000000" w:rsidRPr="00EA5769" w:rsidP="00EA5769">
      <w:pPr>
        <w:pStyle w:val="Heading1"/>
      </w:pPr>
      <w:bookmarkStart w:id="10" w:name="O_1232711"/>
      <w:bookmarkEnd w:id="10"/>
      <w:r w:rsidRPr="00EA5769">
        <w:t>Links</w:t>
      </w:r>
    </w:p>
    <w:p w:rsidR="00000000" w:rsidRPr="00EA5769" w:rsidP="00C32C1C">
      <w:pPr>
        <w:pStyle w:val="BodyText"/>
      </w:pPr>
      <w:r w:rsidRPr="00EA5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68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A5769" w:rsidP="00EA5769"/>
    <w:sectPr w:rsidSect="00EA57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69" w:rsidRPr="00C32C1C" w:rsidP="00C32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1C" w:rsidP="00EA5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C1C" w:rsidP="00EA5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2C1C" w:rsidP="00EA5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769" w:rsidRPr="00C32C1C" w:rsidP="00C32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1C" w:rsidRPr="002D2AF8" w:rsidP="00EA5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TLIX0042 Determine complex tariff classifications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32C1C" w:rsidP="00EA5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769"/>
  </w:style>
  <w:style w:type="character" w:customStyle="1" w:styleId="Heading1Char">
    <w:name w:val="Heading 1 Char"/>
    <w:basedOn w:val="DefaultParagraphFont"/>
    <w:link w:val="Heading1"/>
    <w:rsid w:val="00EA5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7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5769"/>
    <w:rPr>
      <w:b/>
      <w:spacing w:val="0"/>
    </w:rPr>
  </w:style>
  <w:style w:type="paragraph" w:customStyle="1" w:styleId="SuperHeading">
    <w:name w:val="SuperHeading"/>
    <w:basedOn w:val="Normal"/>
    <w:rsid w:val="00EA5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5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7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57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5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7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769"/>
    <w:rPr>
      <w:i/>
    </w:rPr>
  </w:style>
  <w:style w:type="paragraph" w:styleId="Caption">
    <w:name w:val="caption"/>
    <w:basedOn w:val="BodyText"/>
    <w:next w:val="Normal"/>
    <w:qFormat/>
    <w:rsid w:val="00EA5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769"/>
  </w:style>
  <w:style w:type="paragraph" w:styleId="TableofFigures">
    <w:name w:val="table of figures"/>
    <w:basedOn w:val="Normal"/>
    <w:next w:val="Normal"/>
    <w:semiHidden/>
    <w:rsid w:val="00EA5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7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5769"/>
    <w:rPr>
      <w:rFonts w:ascii="Wingdings" w:hAnsi="Wingdings"/>
    </w:rPr>
  </w:style>
  <w:style w:type="paragraph" w:customStyle="1" w:styleId="TableHeading">
    <w:name w:val="Table Heading"/>
    <w:basedOn w:val="HeadingBase"/>
    <w:rsid w:val="00EA5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769"/>
    <w:rPr>
      <w:color w:val="0033CC"/>
      <w:u w:val="none"/>
    </w:rPr>
  </w:style>
  <w:style w:type="paragraph" w:customStyle="1" w:styleId="BodyTextRight">
    <w:name w:val="Body Text Right"/>
    <w:basedOn w:val="BodyText"/>
    <w:rsid w:val="00EA5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7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769"/>
    <w:rPr>
      <w:sz w:val="32"/>
    </w:rPr>
  </w:style>
  <w:style w:type="paragraph" w:customStyle="1" w:styleId="HeadingProcedure">
    <w:name w:val="Heading Procedure"/>
    <w:basedOn w:val="HeadingBase"/>
    <w:next w:val="Normal"/>
    <w:rsid w:val="00EA5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769"/>
    <w:pPr>
      <w:spacing w:before="60" w:after="60"/>
    </w:pPr>
  </w:style>
  <w:style w:type="paragraph" w:styleId="ListContinue">
    <w:name w:val="List Continue"/>
    <w:basedOn w:val="List"/>
    <w:rsid w:val="00EA5769"/>
    <w:pPr>
      <w:ind w:firstLine="0"/>
    </w:pPr>
  </w:style>
  <w:style w:type="paragraph" w:customStyle="1" w:styleId="ListNote">
    <w:name w:val="List Note"/>
    <w:basedOn w:val="List"/>
    <w:rsid w:val="00EA5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769"/>
    <w:rPr>
      <w:rFonts w:ascii="Courier New" w:hAnsi="Courier New"/>
    </w:rPr>
  </w:style>
  <w:style w:type="paragraph" w:customStyle="1" w:styleId="NoteBullet">
    <w:name w:val="Note Bullet"/>
    <w:basedOn w:val="Note"/>
    <w:rsid w:val="00EA5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7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5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769"/>
    <w:rPr>
      <w:b/>
      <w:smallCaps/>
    </w:rPr>
  </w:style>
  <w:style w:type="paragraph" w:customStyle="1" w:styleId="TableListNumber">
    <w:name w:val="Table List Number"/>
    <w:basedOn w:val="ListNumber"/>
    <w:rsid w:val="00EA5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769"/>
    <w:pPr>
      <w:numPr>
        <w:numId w:val="7"/>
      </w:numPr>
    </w:pPr>
  </w:style>
  <w:style w:type="paragraph" w:customStyle="1" w:styleId="ListAlpha2">
    <w:name w:val="List Alpha 2"/>
    <w:basedOn w:val="List2"/>
    <w:rsid w:val="00EA5769"/>
    <w:pPr>
      <w:numPr>
        <w:numId w:val="6"/>
      </w:numPr>
    </w:pPr>
  </w:style>
  <w:style w:type="paragraph" w:styleId="List2">
    <w:name w:val="List 2"/>
    <w:basedOn w:val="BodyText"/>
    <w:rsid w:val="00EA5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7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7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5769"/>
    <w:pPr>
      <w:numPr>
        <w:numId w:val="2"/>
      </w:numPr>
    </w:pPr>
  </w:style>
  <w:style w:type="paragraph" w:styleId="ListContinue2">
    <w:name w:val="List Continue 2"/>
    <w:basedOn w:val="List2"/>
    <w:rsid w:val="00EA5769"/>
    <w:pPr>
      <w:ind w:firstLine="0"/>
    </w:pPr>
  </w:style>
  <w:style w:type="paragraph" w:styleId="ListContinue3">
    <w:name w:val="List Continue 3"/>
    <w:basedOn w:val="List3"/>
    <w:rsid w:val="00EA5769"/>
    <w:pPr>
      <w:ind w:left="1021" w:firstLine="0"/>
    </w:pPr>
  </w:style>
  <w:style w:type="paragraph" w:styleId="ListContinue4">
    <w:name w:val="List Continue 4"/>
    <w:basedOn w:val="List4"/>
    <w:rsid w:val="00EA5769"/>
    <w:pPr>
      <w:ind w:firstLine="0"/>
    </w:pPr>
  </w:style>
  <w:style w:type="paragraph" w:styleId="ListContinue5">
    <w:name w:val="List Continue 5"/>
    <w:basedOn w:val="List5"/>
    <w:rsid w:val="00EA5769"/>
    <w:pPr>
      <w:ind w:firstLine="0"/>
    </w:pPr>
  </w:style>
  <w:style w:type="paragraph" w:styleId="ListNumber3">
    <w:name w:val="List Number 3"/>
    <w:basedOn w:val="List3"/>
    <w:rsid w:val="00EA5769"/>
    <w:pPr>
      <w:numPr>
        <w:numId w:val="3"/>
      </w:numPr>
    </w:pPr>
  </w:style>
  <w:style w:type="paragraph" w:styleId="ListNumber4">
    <w:name w:val="List Number 4"/>
    <w:basedOn w:val="List4"/>
    <w:rsid w:val="00EA5769"/>
    <w:pPr>
      <w:numPr>
        <w:numId w:val="4"/>
      </w:numPr>
    </w:pPr>
  </w:style>
  <w:style w:type="paragraph" w:styleId="ListNumber5">
    <w:name w:val="List Number 5"/>
    <w:basedOn w:val="List5"/>
    <w:rsid w:val="00EA5769"/>
    <w:pPr>
      <w:numPr>
        <w:numId w:val="5"/>
      </w:numPr>
    </w:pPr>
  </w:style>
  <w:style w:type="paragraph" w:styleId="BlockText">
    <w:name w:val="Block Text"/>
    <w:basedOn w:val="Normal"/>
    <w:rsid w:val="00EA5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769"/>
    <w:rPr>
      <w:sz w:val="16"/>
      <w:vertAlign w:val="superscript"/>
    </w:rPr>
  </w:style>
  <w:style w:type="character" w:customStyle="1" w:styleId="Symbols">
    <w:name w:val="Symbols"/>
    <w:basedOn w:val="DefaultParagraphFont"/>
    <w:rsid w:val="00EA5769"/>
    <w:rPr>
      <w:rFonts w:ascii="Symbol" w:hAnsi="Symbol"/>
    </w:rPr>
  </w:style>
  <w:style w:type="character" w:customStyle="1" w:styleId="MenuOptions">
    <w:name w:val="Menu Options"/>
    <w:basedOn w:val="DefaultParagraphFont"/>
    <w:rsid w:val="00EA5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769"/>
    <w:rPr>
      <w:b/>
    </w:rPr>
  </w:style>
  <w:style w:type="character" w:customStyle="1" w:styleId="Underlined">
    <w:name w:val="Underlined"/>
    <w:basedOn w:val="DefaultParagraphFont"/>
    <w:rsid w:val="00EA5769"/>
    <w:rPr>
      <w:u w:val="single"/>
    </w:rPr>
  </w:style>
  <w:style w:type="paragraph" w:customStyle="1" w:styleId="TableBodyTextRight">
    <w:name w:val="Table Body Text Right"/>
    <w:basedOn w:val="TableBodyText"/>
    <w:rsid w:val="00EA5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769"/>
    <w:rPr>
      <w:sz w:val="18"/>
    </w:rPr>
  </w:style>
  <w:style w:type="paragraph" w:customStyle="1" w:styleId="BodySmallRight">
    <w:name w:val="Body Small Right"/>
    <w:basedOn w:val="BodyTextRight"/>
    <w:rsid w:val="00EA5769"/>
    <w:rPr>
      <w:sz w:val="18"/>
      <w:szCs w:val="18"/>
    </w:rPr>
  </w:style>
  <w:style w:type="paragraph" w:customStyle="1" w:styleId="MarginEdition">
    <w:name w:val="Margin Edition"/>
    <w:basedOn w:val="MarginNote"/>
    <w:rsid w:val="00EA5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769"/>
    <w:rPr>
      <w:sz w:val="2"/>
      <w:szCs w:val="2"/>
    </w:rPr>
  </w:style>
  <w:style w:type="character" w:customStyle="1" w:styleId="Small">
    <w:name w:val="Small"/>
    <w:basedOn w:val="DefaultParagraphFont"/>
    <w:rsid w:val="00EA5769"/>
    <w:rPr>
      <w:sz w:val="16"/>
    </w:rPr>
  </w:style>
  <w:style w:type="paragraph" w:customStyle="1" w:styleId="WideTable">
    <w:name w:val="Wide Table"/>
    <w:basedOn w:val="Normal"/>
    <w:rsid w:val="00EA5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769"/>
  </w:style>
  <w:style w:type="paragraph" w:styleId="Quote">
    <w:name w:val="Quote"/>
    <w:basedOn w:val="Heading1"/>
    <w:link w:val="QuoteChar"/>
    <w:qFormat/>
    <w:rsid w:val="00EA5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769"/>
    <w:pPr>
      <w:pageBreakBefore/>
    </w:pPr>
  </w:style>
  <w:style w:type="paragraph" w:customStyle="1" w:styleId="Border">
    <w:name w:val="Border"/>
    <w:basedOn w:val="Normal"/>
    <w:qFormat/>
    <w:rsid w:val="00EA5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769"/>
    <w:rPr>
      <w:u w:val="single"/>
    </w:rPr>
  </w:style>
  <w:style w:type="character" w:customStyle="1" w:styleId="BoldandItalics">
    <w:name w:val="Bold and Italics"/>
    <w:qFormat/>
    <w:rsid w:val="00EA5769"/>
    <w:rPr>
      <w:b/>
      <w:i/>
      <w:u w:val="none"/>
    </w:rPr>
  </w:style>
  <w:style w:type="paragraph" w:styleId="BalloonText">
    <w:name w:val="Balloon Text"/>
    <w:basedOn w:val="Normal"/>
    <w:link w:val="BalloonTextChar"/>
    <w:rsid w:val="00EA5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769"/>
    <w:pPr>
      <w:spacing w:before="0" w:after="0"/>
    </w:pPr>
  </w:style>
  <w:style w:type="paragraph" w:customStyle="1" w:styleId="BodyTextBold">
    <w:name w:val="Body Text Bold"/>
    <w:basedOn w:val="BodyText"/>
    <w:qFormat/>
    <w:rsid w:val="00EA5769"/>
    <w:rPr>
      <w:b/>
    </w:rPr>
  </w:style>
  <w:style w:type="character" w:styleId="Hyperlink">
    <w:name w:val="Hyperlink"/>
    <w:basedOn w:val="DefaultParagraphFont"/>
    <w:uiPriority w:val="99"/>
    <w:unhideWhenUsed/>
    <w:rsid w:val="00C32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3141</Characters>
  <Application>Microsoft Office Word</Application>
  <DocSecurity>0</DocSecurity>
  <Lines>157</Lines>
  <Paragraphs>82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TLIX0042 Determine complex tariff classifications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