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1276" w:rsidP="001A1276">
      <w:pPr>
        <w:pStyle w:val="Title"/>
      </w:pPr>
      <w:r>
        <w:fldChar w:fldCharType="begin"/>
      </w:r>
      <w:r>
        <w:instrText xml:space="preserve"> TITLE   \* MERGEFORMAT </w:instrText>
      </w:r>
      <w:r>
        <w:fldChar w:fldCharType="separate"/>
      </w:r>
      <w:r>
        <w:t>TLIX0042 Determine complex tariff classifications</w:t>
      </w:r>
      <w:r>
        <w:fldChar w:fldCharType="end"/>
      </w:r>
    </w:p>
    <w:p w:rsidR="001A1276" w:rsidP="001A1276">
      <w:pPr>
        <w:pStyle w:val="Version"/>
        <w:sectPr w:rsidSect="00BF0DE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F0DE1" w:rsidP="00BF0DE1">
      <w:pPr>
        <w:pStyle w:val="SuperHeading"/>
      </w:pPr>
      <w:r w:rsidRPr="00BF0DE1">
        <w:t>TLIX0042 Determine complex tariff classifications</w:t>
      </w:r>
    </w:p>
    <w:p w:rsidR="00000000" w:rsidRPr="00BF0DE1" w:rsidP="00BF0DE1">
      <w:pPr>
        <w:pStyle w:val="Heading1"/>
      </w:pPr>
      <w:bookmarkStart w:id="1" w:name="O_1232696"/>
      <w:bookmarkEnd w:id="1"/>
      <w:r w:rsidRPr="00BF0DE1">
        <w:t>Modification History</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rPr>
                <w:rStyle w:val="SpecialBold"/>
              </w:rPr>
              <w:t>Release 1</w:t>
            </w:r>
            <w:r w:rsidRPr="00BF0DE1">
              <w:t>. This is the first release of this unit of competency in the TLI Transport and Logistics Training Package.</w:t>
            </w:r>
          </w:p>
        </w:tc>
      </w:tr>
    </w:tbl>
    <w:p w:rsidR="001A1276" w:rsidP="00BF0DE1">
      <w:pPr>
        <w:pStyle w:val="NoPaddingFontSize1"/>
      </w:pPr>
    </w:p>
    <w:p w:rsidR="001A1276" w:rsidP="00BF0DE1">
      <w:pPr>
        <w:pStyle w:val="NoPaddingFontSize1"/>
      </w:pPr>
    </w:p>
    <w:p w:rsidR="00000000" w:rsidRPr="00BF0DE1" w:rsidP="00BF0DE1">
      <w:pPr>
        <w:pStyle w:val="Heading1"/>
      </w:pPr>
      <w:bookmarkStart w:id="2" w:name="O_1232697"/>
      <w:bookmarkEnd w:id="2"/>
      <w:r w:rsidRPr="00BF0DE1">
        <w:t>Application</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t xml:space="preserve">This unit involves the skills and knowledge required to classify goods for </w:t>
            </w:r>
            <w:r w:rsidRPr="00BF0DE1">
              <w:t>import and export of goods in accordance with the current Australian Customs Act, Customs Tariff Act and other relevant legislation.</w:t>
            </w:r>
          </w:p>
          <w:p w:rsidR="00000000" w:rsidRPr="00BF0DE1" w:rsidP="00BF0DE1">
            <w:pPr>
              <w:pStyle w:val="BodyText"/>
            </w:pPr>
            <w:r w:rsidRPr="00BF0DE1">
              <w:t xml:space="preserve">This unit applies to individuals working in the supply chain industry. Work must be carried in compliance with the current </w:t>
            </w:r>
            <w:r w:rsidRPr="00BF0DE1">
              <w:t>legislation.</w:t>
            </w:r>
          </w:p>
          <w:p w:rsidR="00000000" w:rsidRPr="00BF0DE1" w:rsidP="00BF0DE1">
            <w:pPr>
              <w:pStyle w:val="BodyText"/>
            </w:pPr>
            <w:r w:rsidRPr="00BF0DE1">
              <w:t>Work is undertaken in a range of environments, including small to large worksites, in the customs broking and international supply chain industries</w:t>
            </w:r>
          </w:p>
          <w:p w:rsidR="00000000" w:rsidRPr="00BF0DE1" w:rsidP="00BF0DE1">
            <w:pPr>
              <w:pStyle w:val="BodyText"/>
            </w:pPr>
            <w:r w:rsidRPr="00BF0DE1">
              <w:t>No licensing, legislative or certification requirements apply to this unit at the time of publi</w:t>
            </w:r>
            <w:r w:rsidRPr="00BF0DE1">
              <w:t>cation.</w:t>
            </w:r>
          </w:p>
        </w:tc>
      </w:tr>
    </w:tbl>
    <w:p w:rsidR="001A1276" w:rsidP="00BF0DE1">
      <w:pPr>
        <w:pStyle w:val="NoPaddingFontSize1"/>
      </w:pPr>
    </w:p>
    <w:p w:rsidR="001A1276" w:rsidP="00BF0DE1">
      <w:pPr>
        <w:pStyle w:val="NoPaddingFontSize1"/>
      </w:pPr>
    </w:p>
    <w:p w:rsidR="00000000" w:rsidRPr="00BF0DE1" w:rsidP="00BF0DE1">
      <w:pPr>
        <w:pStyle w:val="Heading1"/>
      </w:pPr>
      <w:bookmarkStart w:id="3" w:name="O_1232698"/>
      <w:bookmarkEnd w:id="3"/>
      <w:r w:rsidRPr="00BF0DE1">
        <w:t>Pre-requisite Unit</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t>TLIX0036 Determine tariff classification of goods</w:t>
            </w:r>
          </w:p>
        </w:tc>
      </w:tr>
    </w:tbl>
    <w:p w:rsidR="001A1276" w:rsidP="00BF0DE1">
      <w:pPr>
        <w:pStyle w:val="NoPaddingFontSize1"/>
      </w:pPr>
    </w:p>
    <w:p w:rsidR="001A1276" w:rsidP="00BF0DE1">
      <w:pPr>
        <w:pStyle w:val="NoPaddingFontSize1"/>
      </w:pPr>
    </w:p>
    <w:p w:rsidR="00000000" w:rsidRPr="00BF0DE1" w:rsidP="00BF0DE1">
      <w:pPr>
        <w:pStyle w:val="Heading1"/>
      </w:pPr>
      <w:bookmarkStart w:id="4" w:name="O_1232699"/>
      <w:bookmarkEnd w:id="4"/>
      <w:r w:rsidRPr="00BF0DE1">
        <w:t>Competency Field</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t>X – Logistics</w:t>
            </w:r>
          </w:p>
        </w:tc>
      </w:tr>
    </w:tbl>
    <w:p w:rsidR="001A1276" w:rsidP="00BF0DE1">
      <w:pPr>
        <w:pStyle w:val="NoPaddingFontSize1"/>
      </w:pPr>
    </w:p>
    <w:p w:rsidR="001A1276" w:rsidP="00BF0DE1">
      <w:pPr>
        <w:pStyle w:val="NoPaddingFontSize1"/>
      </w:pPr>
    </w:p>
    <w:p w:rsidR="00000000" w:rsidRPr="00BF0DE1" w:rsidP="00BF0DE1">
      <w:pPr>
        <w:pStyle w:val="Heading1"/>
      </w:pPr>
      <w:bookmarkStart w:id="5" w:name="O_1232700"/>
      <w:bookmarkEnd w:id="5"/>
      <w:r w:rsidRPr="00BF0DE1">
        <w:t>Unit Sector</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t>Not applicable.</w:t>
            </w:r>
          </w:p>
        </w:tc>
      </w:tr>
    </w:tbl>
    <w:p w:rsidR="001A1276" w:rsidP="00BF0DE1">
      <w:pPr>
        <w:pStyle w:val="NoPaddingFontSize1"/>
      </w:pPr>
    </w:p>
    <w:p w:rsidR="001A1276" w:rsidP="00BF0DE1">
      <w:pPr>
        <w:pStyle w:val="NoPaddingFontSize1"/>
      </w:pPr>
    </w:p>
    <w:p w:rsidR="00000000" w:rsidRPr="00BF0DE1" w:rsidP="00BF0DE1">
      <w:pPr>
        <w:pStyle w:val="Heading1"/>
      </w:pPr>
      <w:bookmarkStart w:id="6" w:name="O_1232701"/>
      <w:bookmarkEnd w:id="6"/>
      <w:r w:rsidRPr="00BF0DE1">
        <w:t>Elements and Performance Criteria</w:t>
      </w:r>
    </w:p>
    <w:tbl>
      <w:tblPr>
        <w:tblW w:w="9504" w:type="dxa"/>
        <w:tblLayout w:type="fixed"/>
        <w:tblCellMar>
          <w:left w:w="62" w:type="dxa"/>
          <w:right w:w="62" w:type="dxa"/>
        </w:tblCellMar>
        <w:tblLook w:val="0000"/>
      </w:tblPr>
      <w:tblGrid>
        <w:gridCol w:w="526"/>
        <w:gridCol w:w="2856"/>
        <w:gridCol w:w="685"/>
        <w:gridCol w:w="5437"/>
      </w:tblGrid>
      <w:tr w:rsidTr="00BF0DE1">
        <w:tblPrEx>
          <w:tblW w:w="9504" w:type="dxa"/>
          <w:tblLayout w:type="fixed"/>
          <w:tblCellMar>
            <w:left w:w="62" w:type="dxa"/>
            <w:right w:w="62" w:type="dxa"/>
          </w:tblCellMar>
          <w:tblLook w:val="0000"/>
        </w:tblPrEx>
        <w:tc>
          <w:tcPr>
            <w:tcW w:w="3382" w:type="dxa"/>
            <w:gridSpan w:val="2"/>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rPr>
                <w:rStyle w:val="SpecialBold"/>
              </w:rPr>
              <w:t>ELEMENTS</w:t>
            </w:r>
          </w:p>
        </w:tc>
        <w:tc>
          <w:tcPr>
            <w:tcW w:w="6122" w:type="dxa"/>
            <w:gridSpan w:val="2"/>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PERFORMANCE CRITERIA</w:t>
            </w:r>
          </w:p>
        </w:tc>
      </w:tr>
      <w:tr w:rsidTr="00BF0DE1">
        <w:tblPrEx>
          <w:tblW w:w="9504" w:type="dxa"/>
          <w:tblLayout w:type="fixed"/>
          <w:tblCellMar>
            <w:left w:w="62" w:type="dxa"/>
            <w:right w:w="62" w:type="dxa"/>
          </w:tblCellMar>
          <w:tblLook w:val="0000"/>
        </w:tblPrEx>
        <w:tc>
          <w:tcPr>
            <w:tcW w:w="3382" w:type="dxa"/>
            <w:gridSpan w:val="2"/>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Elements describe the essential outcomes.</w:t>
            </w:r>
          </w:p>
        </w:tc>
        <w:tc>
          <w:tcPr>
            <w:tcW w:w="6122" w:type="dxa"/>
            <w:gridSpan w:val="2"/>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Performance criteria describe the performance needed to demonstrate achievement of the element.</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rPr>
                <w:rStyle w:val="SpecialBold"/>
              </w:rPr>
              <w:t>1.</w:t>
            </w:r>
          </w:p>
        </w:tc>
        <w:tc>
          <w:tcPr>
            <w:tcW w:w="2856"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rPr>
                <w:rStyle w:val="SpecialBold"/>
              </w:rPr>
              <w:t>Interpret and apply legal notes for the classification of goods</w:t>
            </w: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1.1</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Products requiring complex classification are reviewed to provide skilled identification of the product</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F0DE1">
            <w:pPr>
              <w:pStyle w:val="BodyText"/>
              <w:keepLines w:val="0"/>
              <w:spacing w:before="0" w:after="0"/>
            </w:pP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1.2</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Product is assessed based on legal principles and precedents resulting in val</w:t>
            </w:r>
            <w:r w:rsidRPr="00BF0DE1">
              <w:t>id identification</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F0DE1">
            <w:pPr>
              <w:pStyle w:val="BodyText"/>
              <w:keepLines w:val="0"/>
              <w:spacing w:before="0" w:after="0"/>
            </w:pP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1.3</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Resources required to classify goods such as metals, textiles, functional units, multifunction machines, sets, composite goods, parts, accessories and other complex goods are identified</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F0DE1">
            <w:pPr>
              <w:pStyle w:val="BodyText"/>
              <w:keepLines w:val="0"/>
              <w:spacing w:before="0" w:after="0"/>
            </w:pP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1.4</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Objective and analytical classification principles are applied</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rPr>
                <w:rStyle w:val="SpecialBold"/>
              </w:rPr>
              <w:t>2.</w:t>
            </w:r>
          </w:p>
        </w:tc>
        <w:tc>
          <w:tcPr>
            <w:tcW w:w="2856"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rPr>
                <w:rStyle w:val="SpecialBold"/>
              </w:rPr>
              <w:t>Identify appropriate tariff headings and apply Legal Notes and General Rules of Interpretation (IRs)</w:t>
            </w: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2.1</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 xml:space="preserve">Alternative headings are identified and assessed in accordance with Legal Notes and </w:t>
            </w:r>
            <w:r w:rsidRPr="00BF0DE1">
              <w:t>IRs</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F0DE1">
            <w:pPr>
              <w:pStyle w:val="BodyText"/>
              <w:keepLines w:val="0"/>
              <w:spacing w:before="0" w:after="0"/>
            </w:pP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2.2</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Administrative Appeals Tribunal (AAT) decisions and court cases are considered</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F0DE1">
            <w:pPr>
              <w:pStyle w:val="BodyText"/>
              <w:keepLines w:val="0"/>
              <w:spacing w:before="0" w:after="0"/>
            </w:pP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2.3</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Rejection of alternate headings is justified in accordance with Legal Notes and IRs</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rPr>
                <w:rStyle w:val="SpecialBold"/>
              </w:rPr>
              <w:t>3.</w:t>
            </w:r>
          </w:p>
        </w:tc>
        <w:tc>
          <w:tcPr>
            <w:tcW w:w="2856"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rPr>
                <w:rStyle w:val="SpecialBold"/>
              </w:rPr>
              <w:t>Determine tariff classification</w:t>
            </w: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3.1</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Appropriate tariff heading is determined</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F0DE1">
            <w:pPr>
              <w:pStyle w:val="BodyText"/>
              <w:keepLines w:val="0"/>
              <w:spacing w:before="0" w:after="0"/>
            </w:pP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3.2</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IRs 6 is applied, where appropriate</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F0DE1">
            <w:pPr>
              <w:pStyle w:val="BodyText"/>
              <w:keepLines w:val="0"/>
              <w:spacing w:before="0" w:after="0"/>
            </w:pP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3.3</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Sub-headings are interpreted in hierarchical order</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F0DE1">
            <w:pPr>
              <w:pStyle w:val="BodyText"/>
              <w:keepLines w:val="0"/>
              <w:spacing w:before="0" w:after="0"/>
            </w:pP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3.4</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Sub-heading notes are taken into consideration when determining tariff classification</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F0DE1">
            <w:pPr>
              <w:pStyle w:val="BodyText"/>
              <w:keepLines w:val="0"/>
              <w:spacing w:before="0" w:after="0"/>
            </w:pP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3.5</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Tariff classification is determined</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rPr>
                <w:rStyle w:val="SpecialBold"/>
              </w:rPr>
              <w:t>4.</w:t>
            </w:r>
          </w:p>
        </w:tc>
        <w:tc>
          <w:tcPr>
            <w:tcW w:w="2856"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rPr>
                <w:rStyle w:val="SpecialBold"/>
              </w:rPr>
              <w:t xml:space="preserve">Interpret and apply Schedule 4 </w:t>
            </w:r>
            <w:r w:rsidRPr="00BF0DE1">
              <w:t>i</w:t>
            </w:r>
            <w:r w:rsidRPr="00BF0DE1">
              <w:rPr>
                <w:rStyle w:val="SpecialBold"/>
              </w:rPr>
              <w:t>tems and associated by</w:t>
            </w:r>
            <w:r w:rsidRPr="00BF0DE1">
              <w:t>-</w:t>
            </w:r>
            <w:r w:rsidRPr="00BF0DE1">
              <w:rPr>
                <w:rStyle w:val="SpecialBold"/>
              </w:rPr>
              <w:t>laws and tariff concession orders</w:t>
            </w: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4.1</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Relevant Schedule 4 items are identified</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F0DE1">
            <w:pPr>
              <w:pStyle w:val="BodyText"/>
              <w:keepLines w:val="0"/>
              <w:spacing w:before="0" w:after="0"/>
            </w:pP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4.2</w:t>
            </w:r>
          </w:p>
        </w:tc>
        <w:tc>
          <w:tcPr>
            <w:tcW w:w="543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As prescribed by By-Law principles are reviewed to determine coverage of th</w:t>
            </w:r>
            <w:r w:rsidRPr="00BF0DE1">
              <w:t>e By-Law</w:t>
            </w:r>
          </w:p>
        </w:tc>
      </w:tr>
      <w:tr w:rsidTr="00BF0DE1">
        <w:tblPrEx>
          <w:tblW w:w="9504" w:type="dxa"/>
          <w:tblLayout w:type="fixed"/>
          <w:tblCellMar>
            <w:left w:w="62" w:type="dxa"/>
            <w:right w:w="62" w:type="dxa"/>
          </w:tblCellMar>
          <w:tblLook w:val="0000"/>
        </w:tblPrEx>
        <w:tc>
          <w:tcPr>
            <w:tcW w:w="52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56" w:type="dxa"/>
            <w:tcBorders>
              <w:top w:val="nil"/>
              <w:left w:val="nil"/>
              <w:bottom w:val="nil"/>
              <w:right w:val="nil"/>
            </w:tcBorders>
            <w:tcMar>
              <w:top w:w="0" w:type="dxa"/>
              <w:left w:w="62" w:type="dxa"/>
              <w:bottom w:w="0" w:type="dxa"/>
              <w:right w:w="62" w:type="dxa"/>
            </w:tcMar>
          </w:tcPr>
          <w:p w:rsidR="00000000" w:rsidRPr="00BF0DE1">
            <w:pPr>
              <w:pStyle w:val="BodyText"/>
              <w:keepLines w:val="0"/>
              <w:spacing w:before="0" w:after="0"/>
            </w:pPr>
          </w:p>
        </w:tc>
        <w:tc>
          <w:tcPr>
            <w:tcW w:w="685"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rPr>
                <w:rStyle w:val="SpecialBold"/>
              </w:rPr>
              <w:t>4.3</w:t>
            </w:r>
          </w:p>
        </w:tc>
        <w:tc>
          <w:tcPr>
            <w:tcW w:w="5437"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t>Legal principles and case law are utilised to interpret the meaning of tariff concession order, where appropriate</w:t>
            </w:r>
          </w:p>
        </w:tc>
      </w:tr>
    </w:tbl>
    <w:p w:rsidR="001A1276" w:rsidP="00BF0DE1">
      <w:pPr>
        <w:pStyle w:val="NoPaddingFontSize1"/>
      </w:pPr>
    </w:p>
    <w:p w:rsidR="001A1276" w:rsidP="00BF0DE1">
      <w:pPr>
        <w:pStyle w:val="NoPaddingFontSize1"/>
      </w:pPr>
    </w:p>
    <w:p w:rsidR="00000000" w:rsidRPr="00BF0DE1" w:rsidP="00BF0DE1">
      <w:pPr>
        <w:pStyle w:val="Heading1"/>
      </w:pPr>
      <w:bookmarkStart w:id="7" w:name="O_1232702"/>
      <w:bookmarkEnd w:id="7"/>
      <w:r w:rsidRPr="00BF0DE1">
        <w:t>Foundation Skills</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t xml:space="preserve">Foundation skills essential to performance are explicit in the performance criteria of this unit of </w:t>
            </w:r>
            <w:r w:rsidRPr="00BF0DE1">
              <w:t>competency.</w:t>
            </w:r>
          </w:p>
        </w:tc>
      </w:tr>
    </w:tbl>
    <w:p w:rsidR="001A1276" w:rsidP="00BF0DE1">
      <w:pPr>
        <w:pStyle w:val="NoPaddingFontSize1"/>
      </w:pPr>
    </w:p>
    <w:p w:rsidR="001A1276" w:rsidP="00BF0DE1">
      <w:pPr>
        <w:pStyle w:val="NoPaddingFontSize1"/>
      </w:pPr>
    </w:p>
    <w:p w:rsidR="00000000" w:rsidRPr="00BF0DE1" w:rsidP="00BF0DE1">
      <w:pPr>
        <w:pStyle w:val="Heading1"/>
      </w:pPr>
      <w:bookmarkStart w:id="8" w:name="O_1232703"/>
      <w:bookmarkEnd w:id="8"/>
      <w:r w:rsidRPr="00BF0DE1">
        <w:t>Range of Conditions</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t>Range is restricted to essential operating conditions and any other variables essential to the work en</w:t>
            </w:r>
            <w:r w:rsidRPr="00BF0DE1">
              <w:t>vironment.</w:t>
            </w:r>
          </w:p>
          <w:p w:rsidR="00000000" w:rsidRPr="00BF0DE1" w:rsidP="00BF0DE1">
            <w:pPr>
              <w:pStyle w:val="BodyText"/>
            </w:pPr>
            <w:r w:rsidRPr="00BF0DE1">
              <w:t>Non-essential conditions can be found in the TLI Transport and Logistics Training Package Companion Volume Implementation Guide.</w:t>
            </w:r>
          </w:p>
        </w:tc>
      </w:tr>
    </w:tbl>
    <w:p w:rsidR="001A1276" w:rsidP="00BF0DE1">
      <w:pPr>
        <w:pStyle w:val="NoPaddingFontSize1"/>
      </w:pPr>
    </w:p>
    <w:p w:rsidR="001A1276" w:rsidP="00BF0DE1">
      <w:pPr>
        <w:pStyle w:val="NoPaddingFontSize1"/>
      </w:pPr>
    </w:p>
    <w:p w:rsidR="00000000" w:rsidRPr="00BF0DE1" w:rsidP="00BF0DE1">
      <w:pPr>
        <w:pStyle w:val="Heading1"/>
      </w:pPr>
      <w:bookmarkStart w:id="9" w:name="O_1232704"/>
      <w:bookmarkEnd w:id="9"/>
      <w:r w:rsidRPr="00BF0DE1">
        <w:t>Unit Mapping Information</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t>This unit replaces but is not equivalent to TLIX5053 Determine tariff</w:t>
            </w:r>
            <w:r w:rsidRPr="00BF0DE1">
              <w:t xml:space="preserve"> classification for complex goods.</w:t>
            </w:r>
          </w:p>
        </w:tc>
      </w:tr>
    </w:tbl>
    <w:p w:rsidR="001A1276" w:rsidP="00BF0DE1">
      <w:pPr>
        <w:pStyle w:val="NoPaddingFontSize1"/>
      </w:pPr>
    </w:p>
    <w:p w:rsidR="001A1276" w:rsidP="00BF0DE1">
      <w:pPr>
        <w:pStyle w:val="NoPaddingFontSize1"/>
      </w:pPr>
    </w:p>
    <w:p w:rsidR="00000000" w:rsidRPr="00BF0DE1" w:rsidP="00BF0DE1">
      <w:pPr>
        <w:pStyle w:val="Heading1"/>
      </w:pPr>
      <w:bookmarkStart w:id="10" w:name="O_1232711"/>
      <w:bookmarkEnd w:id="10"/>
      <w:r w:rsidRPr="00BF0DE1">
        <w:t>Links</w:t>
      </w:r>
    </w:p>
    <w:p w:rsidR="00000000" w:rsidRPr="00BF0DE1" w:rsidP="001A1276">
      <w:pPr>
        <w:pStyle w:val="BodyText"/>
      </w:pPr>
      <w:r w:rsidRPr="00BF0DE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F2638">
        <w:rPr>
          <w:rStyle w:val="Hyperlink"/>
        </w:rPr>
        <w:t>https://vetnet.gov.au/Pages/TrainingDocs.aspx?q=df441c6e-213d-43e3-874c-0b3f7036d851</w:t>
      </w:r>
      <w:r>
        <w:fldChar w:fldCharType="end"/>
      </w:r>
    </w:p>
    <w:p w:rsidR="00000000" w:rsidRPr="00BF0DE1" w:rsidP="001A1276">
      <w:pPr>
        <w:pStyle w:val="BodyText"/>
        <w:sectPr w:rsidSect="00BF0DE1">
          <w:headerReference w:type="default" r:id="rId10"/>
          <w:footerReference w:type="default" r:id="rId11"/>
          <w:pgSz w:w="11908" w:h="16833"/>
          <w:pgMar w:top="1702" w:right="1418" w:bottom="1702" w:left="1418" w:header="992" w:footer="992" w:gutter="0"/>
          <w:cols w:space="720"/>
          <w:noEndnote/>
          <w:docGrid w:linePitch="299"/>
        </w:sectPr>
      </w:pPr>
    </w:p>
    <w:p w:rsidR="00000000" w:rsidRPr="00BF0DE1" w:rsidP="00BF0DE1">
      <w:pPr>
        <w:pStyle w:val="SuperHeading"/>
      </w:pPr>
      <w:r w:rsidRPr="00BF0DE1">
        <w:t>Assessment Requirements for TLIX0042 Determine complex tariff classifications</w:t>
      </w:r>
    </w:p>
    <w:p w:rsidR="00000000" w:rsidRPr="00BF0DE1" w:rsidP="00BF0DE1">
      <w:pPr>
        <w:pStyle w:val="Heading1"/>
      </w:pPr>
      <w:bookmarkStart w:id="11" w:name="O_1232706"/>
      <w:bookmarkEnd w:id="11"/>
      <w:r w:rsidRPr="00BF0DE1">
        <w:t>Modification History</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rPr>
                <w:rStyle w:val="SpecialBold"/>
              </w:rPr>
              <w:t>Release 1</w:t>
            </w:r>
            <w:r w:rsidRPr="00BF0DE1">
              <w:t>. This is the first release of this unit of competency in the TLI Transport and Logistics Training Package.</w:t>
            </w:r>
          </w:p>
        </w:tc>
      </w:tr>
    </w:tbl>
    <w:p w:rsidR="001A1276" w:rsidP="00BF0DE1">
      <w:pPr>
        <w:pStyle w:val="NoPaddingFontSize1"/>
      </w:pPr>
    </w:p>
    <w:p w:rsidR="001A1276" w:rsidP="00BF0DE1">
      <w:pPr>
        <w:pStyle w:val="NoPaddingFontSize1"/>
      </w:pPr>
    </w:p>
    <w:p w:rsidR="00000000" w:rsidRPr="00BF0DE1" w:rsidP="00BF0DE1">
      <w:pPr>
        <w:pStyle w:val="Heading1"/>
      </w:pPr>
      <w:bookmarkStart w:id="12" w:name="O_1232707"/>
      <w:bookmarkEnd w:id="12"/>
      <w:r w:rsidRPr="00BF0DE1">
        <w:t>Performance Evidence</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Evidence required to demonstrate competence in this unit must be relevant to and satisfy all of the requirements of the elements and performance criteria on at least one occasion and include:</w:t>
            </w:r>
          </w:p>
        </w:tc>
      </w:tr>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ListBullet"/>
            </w:pPr>
            <w:r w:rsidRPr="00BF0DE1">
              <w:t xml:space="preserve">determining the correct customs </w:t>
            </w:r>
            <w:r w:rsidRPr="00BF0DE1">
              <w:t>tariff classification for goods</w:t>
            </w:r>
          </w:p>
          <w:p w:rsidR="00000000" w:rsidRPr="00BF0DE1" w:rsidP="00BF0DE1">
            <w:pPr>
              <w:pStyle w:val="ListBullet"/>
            </w:pPr>
            <w:r w:rsidRPr="00BF0DE1">
              <w:t>following processes for classifying goods</w:t>
            </w:r>
          </w:p>
          <w:p w:rsidR="00000000" w:rsidRPr="00BF0DE1" w:rsidP="00BF0DE1">
            <w:pPr>
              <w:pStyle w:val="ListBullet"/>
            </w:pPr>
            <w:r w:rsidRPr="00BF0DE1">
              <w:t>gathering and analysing information</w:t>
            </w:r>
          </w:p>
          <w:p w:rsidR="00000000" w:rsidRPr="00BF0DE1" w:rsidP="00BF0DE1">
            <w:pPr>
              <w:pStyle w:val="ListBullet"/>
            </w:pPr>
            <w:r w:rsidRPr="00BF0DE1">
              <w:t>identifying, interpreting and applying Legal Notes and General Rules of Interpretation (IRs) to the tariff classification of goods</w:t>
            </w:r>
          </w:p>
          <w:p w:rsidR="00000000" w:rsidRPr="00BF0DE1" w:rsidP="00BF0DE1">
            <w:pPr>
              <w:pStyle w:val="ListBullet"/>
            </w:pPr>
            <w:r w:rsidRPr="00BF0DE1">
              <w:t>interpreting and applying Schedule 4 items, by-laws and tariff concession orders to goods.</w:t>
            </w:r>
          </w:p>
        </w:tc>
      </w:tr>
    </w:tbl>
    <w:p w:rsidR="001A1276" w:rsidP="00BF0DE1">
      <w:pPr>
        <w:pStyle w:val="NoPaddingFontSize1"/>
      </w:pPr>
    </w:p>
    <w:p w:rsidR="001A1276" w:rsidP="00BF0DE1">
      <w:pPr>
        <w:pStyle w:val="NoPaddingFontSize1"/>
      </w:pPr>
    </w:p>
    <w:p w:rsidR="00000000" w:rsidRPr="00BF0DE1" w:rsidP="00BF0DE1">
      <w:pPr>
        <w:pStyle w:val="Heading1"/>
      </w:pPr>
      <w:bookmarkStart w:id="13" w:name="O_1232708"/>
      <w:bookmarkEnd w:id="13"/>
      <w:r w:rsidRPr="00BF0DE1">
        <w:t>Knowledge Evidence</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F0DE1">
            <w:pPr>
              <w:pStyle w:val="BodyText"/>
              <w:rPr>
                <w:lang w:val="en-NZ"/>
              </w:rPr>
            </w:pPr>
            <w:r w:rsidRPr="00BF0DE1">
              <w:t>Evidence required to demonstrate competence in this unit must be relevant to and satisfy all of the requirements of the elem</w:t>
            </w:r>
            <w:r w:rsidRPr="00BF0DE1">
              <w:t>ents and performance criteria and include knowledge of:</w:t>
            </w:r>
          </w:p>
        </w:tc>
      </w:tr>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ListBullet"/>
            </w:pPr>
            <w:r w:rsidRPr="00BF0DE1">
              <w:t>application of the dash system</w:t>
            </w:r>
          </w:p>
          <w:p w:rsidR="00000000" w:rsidRPr="00BF0DE1" w:rsidP="00BF0DE1">
            <w:pPr>
              <w:pStyle w:val="ListBullet"/>
            </w:pPr>
            <w:r w:rsidRPr="00BF0DE1">
              <w:t>application of IRs and Legal Notes</w:t>
            </w:r>
          </w:p>
          <w:p w:rsidR="00000000" w:rsidRPr="00BF0DE1" w:rsidP="00BF0DE1">
            <w:pPr>
              <w:pStyle w:val="ListBullet"/>
            </w:pPr>
            <w:r w:rsidRPr="00BF0DE1">
              <w:t>classification of:</w:t>
            </w:r>
          </w:p>
          <w:p w:rsidR="00000000" w:rsidRPr="00BF0DE1" w:rsidP="00BF0DE1">
            <w:pPr>
              <w:pStyle w:val="ListBullet2"/>
            </w:pPr>
            <w:r w:rsidRPr="00BF0DE1">
              <w:t>functional units</w:t>
            </w:r>
          </w:p>
          <w:p w:rsidR="00000000" w:rsidRPr="00BF0DE1" w:rsidP="00BF0DE1">
            <w:pPr>
              <w:pStyle w:val="ListBullet2"/>
            </w:pPr>
            <w:r w:rsidRPr="00BF0DE1">
              <w:t>metals</w:t>
            </w:r>
          </w:p>
          <w:p w:rsidR="00000000" w:rsidRPr="00BF0DE1" w:rsidP="00BF0DE1">
            <w:pPr>
              <w:pStyle w:val="ListBullet2"/>
            </w:pPr>
            <w:r w:rsidRPr="00BF0DE1">
              <w:t xml:space="preserve">multifunction machines </w:t>
            </w:r>
          </w:p>
          <w:p w:rsidR="00000000" w:rsidRPr="00BF0DE1" w:rsidP="00BF0DE1">
            <w:pPr>
              <w:pStyle w:val="ListBullet2"/>
            </w:pPr>
            <w:r w:rsidRPr="00BF0DE1">
              <w:t>parts and accessories</w:t>
            </w:r>
          </w:p>
          <w:p w:rsidR="00000000" w:rsidRPr="00BF0DE1" w:rsidP="00BF0DE1">
            <w:pPr>
              <w:pStyle w:val="ListBullet2"/>
            </w:pPr>
            <w:r w:rsidRPr="00BF0DE1">
              <w:t>sets</w:t>
            </w:r>
          </w:p>
          <w:p w:rsidR="00000000" w:rsidRPr="00BF0DE1" w:rsidP="00BF0DE1">
            <w:pPr>
              <w:pStyle w:val="ListBullet2"/>
            </w:pPr>
            <w:r w:rsidRPr="00BF0DE1">
              <w:t>textiles</w:t>
            </w:r>
          </w:p>
          <w:p w:rsidR="00000000" w:rsidRPr="00BF0DE1" w:rsidP="00BF0DE1">
            <w:pPr>
              <w:pStyle w:val="ListBullet"/>
            </w:pPr>
            <w:r w:rsidRPr="00BF0DE1">
              <w:t xml:space="preserve">Customs Act and associated regulations as amended </w:t>
            </w:r>
          </w:p>
          <w:p w:rsidR="00000000" w:rsidRPr="00BF0DE1" w:rsidP="00BF0DE1">
            <w:pPr>
              <w:pStyle w:val="ListBullet"/>
            </w:pPr>
            <w:r w:rsidRPr="00BF0DE1">
              <w:t>Customs Tariff Act and associated Schedules and regulations</w:t>
            </w:r>
          </w:p>
          <w:p w:rsidR="00000000" w:rsidRPr="00BF0DE1" w:rsidP="00BF0DE1">
            <w:pPr>
              <w:pStyle w:val="ListBullet"/>
            </w:pPr>
            <w:r w:rsidRPr="00BF0DE1">
              <w:t>Schedule 4 Items and their associated by-laws</w:t>
            </w:r>
          </w:p>
          <w:p w:rsidR="00000000" w:rsidRPr="00BF0DE1" w:rsidP="00BF0DE1">
            <w:pPr>
              <w:pStyle w:val="ListBullet"/>
            </w:pPr>
            <w:r w:rsidRPr="00BF0DE1">
              <w:t>tariff concession orders.</w:t>
            </w:r>
          </w:p>
        </w:tc>
      </w:tr>
    </w:tbl>
    <w:p w:rsidR="001A1276" w:rsidP="00BF0DE1">
      <w:pPr>
        <w:pStyle w:val="NoPaddingFontSize1"/>
      </w:pPr>
    </w:p>
    <w:p w:rsidR="001A1276" w:rsidP="00BF0DE1">
      <w:pPr>
        <w:pStyle w:val="NoPaddingFontSize1"/>
      </w:pPr>
    </w:p>
    <w:p w:rsidR="00000000" w:rsidRPr="00BF0DE1" w:rsidP="00BF0DE1">
      <w:pPr>
        <w:pStyle w:val="Heading1"/>
      </w:pPr>
      <w:bookmarkStart w:id="14" w:name="O_1232709"/>
      <w:bookmarkEnd w:id="14"/>
      <w:r w:rsidRPr="00BF0DE1">
        <w:t>Assessment Conditions</w:t>
      </w:r>
    </w:p>
    <w:tbl>
      <w:tblPr>
        <w:tblW w:w="9497" w:type="dxa"/>
        <w:tblLayout w:type="fixed"/>
        <w:tblCellMar>
          <w:left w:w="62" w:type="dxa"/>
          <w:right w:w="62" w:type="dxa"/>
        </w:tblCellMar>
        <w:tblLook w:val="0000"/>
      </w:tblPr>
      <w:tblGrid>
        <w:gridCol w:w="9497"/>
      </w:tblGrid>
      <w:tr w:rsidTr="00BF0DE1">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F0DE1" w:rsidP="00BF0DE1">
            <w:pPr>
              <w:pStyle w:val="BodyText"/>
            </w:pPr>
            <w:r w:rsidRPr="00BF0DE1">
              <w:t xml:space="preserve">Assessors must hold credentials specified within the Standards for Registered Training Organisations current at the time of assessment. </w:t>
            </w:r>
          </w:p>
          <w:p w:rsidR="00000000" w:rsidRPr="00BF0DE1" w:rsidP="00BF0DE1">
            <w:pPr>
              <w:pStyle w:val="BodyText"/>
            </w:pPr>
            <w:r w:rsidRPr="00BF0DE1">
              <w:t>Assessment must satisfy the Principles of Assessment and Rules of Evidence and all regulatory requirements included wit</w:t>
            </w:r>
            <w:r w:rsidRPr="00BF0DE1">
              <w:t>hin the Standards for Registered Training Organisations current at the time of assessment.</w:t>
            </w:r>
          </w:p>
          <w:p w:rsidR="00000000" w:rsidRPr="00BF0DE1" w:rsidP="00BF0DE1">
            <w:pPr>
              <w:pStyle w:val="BodyText"/>
            </w:pPr>
            <w:r w:rsidRPr="00BF0DE1">
              <w:t>Assessment must occur in workplace operational situations where it is appropriate to do so; where this is not appropriate, assessment must occur in simulated workpla</w:t>
            </w:r>
            <w:r w:rsidRPr="00BF0DE1">
              <w:t xml:space="preserve">ce operational situations that replicate workplace conditions. </w:t>
            </w:r>
          </w:p>
          <w:p w:rsidR="00000000" w:rsidRPr="00BF0DE1" w:rsidP="00BF0DE1">
            <w:pPr>
              <w:pStyle w:val="BodyText"/>
            </w:pPr>
            <w:r w:rsidRPr="00BF0DE1">
              <w:t>Assessment processes and techniques must be appropriate to the language, literacy and numeracy requirements of the work being performed and the needs of the candidate.</w:t>
            </w:r>
          </w:p>
          <w:p w:rsidR="00000000" w:rsidRPr="00BF0DE1" w:rsidP="00BF0DE1">
            <w:pPr>
              <w:pStyle w:val="BodyText"/>
            </w:pPr>
            <w:r w:rsidRPr="00BF0DE1">
              <w:t>Resources for assessment</w:t>
            </w:r>
            <w:r w:rsidRPr="00BF0DE1">
              <w:t xml:space="preserve"> must include access to:</w:t>
            </w:r>
          </w:p>
          <w:p w:rsidR="00000000" w:rsidRPr="00BF0DE1" w:rsidP="00BF0DE1">
            <w:pPr>
              <w:pStyle w:val="ListBullet"/>
            </w:pPr>
            <w:r w:rsidRPr="00BF0DE1">
              <w:t>a range of relevant exercises, case studies and/or simulations</w:t>
            </w:r>
          </w:p>
          <w:p w:rsidR="00000000" w:rsidRPr="00BF0DE1" w:rsidP="00BF0DE1">
            <w:pPr>
              <w:pStyle w:val="ListBullet"/>
            </w:pPr>
            <w:r w:rsidRPr="00BF0DE1">
              <w:t>applicable documentation including legislation, Administrative Appeals Tribunal (AAT) and case law and regulators guidance material.</w:t>
            </w:r>
          </w:p>
        </w:tc>
      </w:tr>
    </w:tbl>
    <w:p w:rsidR="001A1276" w:rsidP="00BF0DE1">
      <w:pPr>
        <w:pStyle w:val="NoPaddingFontSize1"/>
      </w:pPr>
    </w:p>
    <w:p w:rsidR="001A1276" w:rsidP="00BF0DE1">
      <w:pPr>
        <w:pStyle w:val="NoPaddingFontSize1"/>
      </w:pPr>
    </w:p>
    <w:p w:rsidR="00000000" w:rsidRPr="00BF0DE1" w:rsidP="00BF0DE1">
      <w:pPr>
        <w:pStyle w:val="Heading1"/>
      </w:pPr>
      <w:bookmarkStart w:id="15" w:name="O_1232712"/>
      <w:bookmarkEnd w:id="15"/>
      <w:r w:rsidRPr="00BF0DE1">
        <w:t>Links</w:t>
      </w:r>
    </w:p>
    <w:p w:rsidR="00000000" w:rsidRPr="00BF0DE1" w:rsidP="001A1276">
      <w:pPr>
        <w:pStyle w:val="BodyText"/>
      </w:pPr>
      <w:r w:rsidRPr="00BF0DE1">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AF2638">
        <w:rPr>
          <w:rStyle w:val="Hyperlink"/>
        </w:rPr>
        <w:t>https://vetnet.gov.au/Pages/TrainingDocs.aspx?q=df441c6e-213d-43e3-874c-0b3f7036d851</w:t>
      </w:r>
      <w:r>
        <w:fldChar w:fldCharType="end"/>
      </w:r>
    </w:p>
    <w:p w:rsidR="00000000" w:rsidRPr="00BF0DE1" w:rsidP="00BF0DE1"/>
    <w:sectPr w:rsidSect="00BF0DE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E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E1" w:rsidRPr="001A1276" w:rsidP="001A127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E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76" w:rsidP="00BF0DE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A1276" w:rsidP="00BF0DE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1A1276" w:rsidP="00BF0DE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E1" w:rsidP="00BF0DE1">
    <w:pPr>
      <w:pStyle w:val="Footer"/>
      <w:framePr w:wrap="around"/>
    </w:pPr>
    <w:r>
      <w:fldChar w:fldCharType="begin"/>
    </w:r>
    <w:r>
      <w:instrText xml:space="preserve"> DOCPROPERTY  Subject  \* MERGEFORMAT </w:instrText>
    </w:r>
    <w:r>
      <w:fldChar w:fldCharType="separate"/>
    </w:r>
    <w:r w:rsidR="001A1276">
      <w:t>Approved</w:t>
    </w:r>
    <w:r w:rsidR="001A1276">
      <w:fldChar w:fldCharType="end"/>
    </w:r>
    <w:r>
      <w:tab/>
      <w:t xml:space="preserve">Page </w:t>
    </w:r>
    <w:r>
      <w:fldChar w:fldCharType="begin"/>
    </w:r>
    <w:r>
      <w:instrText xml:space="preserve"> PAGE  \* Arabic  \* MERGEFORMAT </w:instrText>
    </w:r>
    <w:r>
      <w:fldChar w:fldCharType="separate"/>
    </w:r>
    <w:r w:rsidR="001A127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A1276">
      <w:rPr>
        <w:noProof/>
      </w:rPr>
      <w:t>4</w:t>
    </w:r>
    <w:r>
      <w:rPr>
        <w:noProof/>
      </w:rPr>
      <w:fldChar w:fldCharType="end"/>
    </w:r>
  </w:p>
  <w:p w:rsidR="00BF0DE1" w:rsidP="00BF0DE1">
    <w:pPr>
      <w:pStyle w:val="Footer"/>
      <w:framePr w:wrap="around"/>
    </w:pPr>
    <w:r>
      <w:t xml:space="preserve">© Commonwealth of Australia, </w:t>
    </w:r>
    <w:r>
      <w:fldChar w:fldCharType="begin"/>
    </w:r>
    <w:r>
      <w:instrText xml:space="preserve"> DATE  \@ "yyyy"  \* MERGEFORMAT </w:instrText>
    </w:r>
    <w:r>
      <w:fldChar w:fldCharType="separate"/>
    </w:r>
    <w:r w:rsidR="001A1276">
      <w:rPr>
        <w:noProof/>
      </w:rPr>
      <w:t>2025</w:t>
    </w:r>
    <w:r>
      <w:fldChar w:fldCharType="end"/>
    </w:r>
    <w:r>
      <w:tab/>
    </w:r>
    <w:r>
      <w:fldChar w:fldCharType="begin"/>
    </w:r>
    <w:r>
      <w:instrText xml:space="preserve"> DOCPROPERTY  Author  \* MERGEFORMAT </w:instrText>
    </w:r>
    <w:r>
      <w:fldChar w:fldCharType="separate"/>
    </w:r>
    <w:r w:rsidR="001A1276">
      <w:t>Industry Skills Australia</w:t>
    </w:r>
    <w:r w:rsidR="001A1276">
      <w:fldChar w:fldCharType="end"/>
    </w:r>
  </w:p>
  <w:p w:rsidR="00BF0DE1" w:rsidP="00BF0DE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E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7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F0DE1" w:rsidRPr="001A1276" w:rsidP="001A127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E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1276" w:rsidRPr="002D2AF8" w:rsidP="00BF0DE1">
    <w:pPr>
      <w:pStyle w:val="Header"/>
      <w:framePr w:wrap="around"/>
    </w:pPr>
    <w:r>
      <w:fldChar w:fldCharType="begin"/>
    </w:r>
    <w:r>
      <w:instrText xml:space="preserve"> TITLE   \* MERGEFORMAT </w:instrText>
    </w:r>
    <w:r>
      <w:fldChar w:fldCharType="separate"/>
    </w:r>
    <w:r>
      <w:t>TLIX0042 Determine complex tariff classifications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A1276" w:rsidP="00BF0DE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0DE1" w:rsidRPr="002D2AF8" w:rsidP="00BF0DE1">
    <w:pPr>
      <w:pStyle w:val="Header"/>
      <w:framePr w:wrap="around"/>
    </w:pPr>
    <w:r>
      <w:fldChar w:fldCharType="begin"/>
    </w:r>
    <w:r>
      <w:instrText xml:space="preserve"> TITLE   \* MERGEFORMAT </w:instrText>
    </w:r>
    <w:r>
      <w:fldChar w:fldCharType="separate"/>
    </w:r>
    <w:r w:rsidR="001A1276">
      <w:t>TLIX0042 Determine complex tariff classifications</w:t>
    </w:r>
    <w:r w:rsidR="001A1276">
      <w:fldChar w:fldCharType="end"/>
    </w:r>
    <w:r>
      <w:tab/>
      <w:t xml:space="preserve">Date this document was generated: </w:t>
    </w:r>
    <w:r>
      <w:fldChar w:fldCharType="begin"/>
    </w:r>
    <w:r>
      <w:instrText xml:space="preserve"> CREATEDATE  \@ "d MMMM yyyy"  \* MERGEFORMAT </w:instrText>
    </w:r>
    <w:r>
      <w:fldChar w:fldCharType="separate"/>
    </w:r>
    <w:r w:rsidR="001A1276">
      <w:rPr>
        <w:noProof/>
      </w:rPr>
      <w:t>2 March 2025</w:t>
    </w:r>
    <w:r>
      <w:fldChar w:fldCharType="end"/>
    </w:r>
  </w:p>
  <w:p w:rsidR="00BF0DE1" w:rsidP="00BF0DE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F8514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200B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31E0E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0DE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F0DE1"/>
    <w:pPr>
      <w:spacing w:before="360" w:after="60"/>
      <w:outlineLvl w:val="0"/>
    </w:pPr>
    <w:rPr>
      <w:sz w:val="32"/>
    </w:rPr>
  </w:style>
  <w:style w:type="paragraph" w:styleId="Heading2">
    <w:name w:val="heading 2"/>
    <w:basedOn w:val="HeadingBase"/>
    <w:next w:val="BodyText"/>
    <w:link w:val="Heading2Char"/>
    <w:qFormat/>
    <w:rsid w:val="00BF0DE1"/>
    <w:pPr>
      <w:keepLines/>
      <w:spacing w:before="240" w:after="120"/>
      <w:outlineLvl w:val="1"/>
    </w:pPr>
    <w:rPr>
      <w:sz w:val="28"/>
      <w:szCs w:val="40"/>
    </w:rPr>
  </w:style>
  <w:style w:type="paragraph" w:styleId="Heading3">
    <w:name w:val="heading 3"/>
    <w:basedOn w:val="HeadingBase"/>
    <w:next w:val="BodyText"/>
    <w:link w:val="Heading3Char"/>
    <w:qFormat/>
    <w:rsid w:val="00BF0DE1"/>
    <w:pPr>
      <w:spacing w:before="180" w:after="120"/>
      <w:outlineLvl w:val="2"/>
    </w:pPr>
    <w:rPr>
      <w:spacing w:val="-10"/>
      <w:kern w:val="32"/>
    </w:rPr>
  </w:style>
  <w:style w:type="paragraph" w:styleId="Heading4">
    <w:name w:val="heading 4"/>
    <w:basedOn w:val="HeadingBase"/>
    <w:next w:val="BodyText"/>
    <w:link w:val="Heading4Char"/>
    <w:qFormat/>
    <w:rsid w:val="00BF0DE1"/>
    <w:pPr>
      <w:spacing w:before="160" w:after="120"/>
      <w:outlineLvl w:val="3"/>
    </w:pPr>
    <w:rPr>
      <w:sz w:val="22"/>
    </w:rPr>
  </w:style>
  <w:style w:type="paragraph" w:styleId="Heading5">
    <w:name w:val="heading 5"/>
    <w:basedOn w:val="HeadingBase"/>
    <w:next w:val="Normal"/>
    <w:link w:val="Heading5Char"/>
    <w:qFormat/>
    <w:rsid w:val="00BF0DE1"/>
    <w:pPr>
      <w:spacing w:before="80"/>
      <w:outlineLvl w:val="4"/>
    </w:pPr>
    <w:rPr>
      <w:color w:val="918585"/>
      <w:sz w:val="20"/>
    </w:rPr>
  </w:style>
  <w:style w:type="paragraph" w:styleId="Heading6">
    <w:name w:val="heading 6"/>
    <w:basedOn w:val="HeadingBase"/>
    <w:next w:val="Normal"/>
    <w:link w:val="Heading6Char"/>
    <w:qFormat/>
    <w:rsid w:val="00BF0DE1"/>
    <w:pPr>
      <w:spacing w:before="60"/>
      <w:outlineLvl w:val="5"/>
    </w:pPr>
    <w:rPr>
      <w:color w:val="918585"/>
      <w:sz w:val="20"/>
    </w:rPr>
  </w:style>
  <w:style w:type="paragraph" w:styleId="Heading7">
    <w:name w:val="heading 7"/>
    <w:basedOn w:val="Normal"/>
    <w:next w:val="Normal"/>
    <w:link w:val="Heading7Char"/>
    <w:qFormat/>
    <w:rsid w:val="00BF0DE1"/>
    <w:pPr>
      <w:ind w:left="720"/>
      <w:outlineLvl w:val="6"/>
    </w:pPr>
    <w:rPr>
      <w:i/>
    </w:rPr>
  </w:style>
  <w:style w:type="paragraph" w:styleId="Heading8">
    <w:name w:val="heading 8"/>
    <w:basedOn w:val="Normal"/>
    <w:next w:val="Normal"/>
    <w:link w:val="Heading8Char"/>
    <w:qFormat/>
    <w:rsid w:val="00BF0DE1"/>
    <w:pPr>
      <w:ind w:left="720"/>
      <w:outlineLvl w:val="7"/>
    </w:pPr>
    <w:rPr>
      <w:i/>
    </w:rPr>
  </w:style>
  <w:style w:type="paragraph" w:styleId="Heading9">
    <w:name w:val="heading 9"/>
    <w:basedOn w:val="Normal"/>
    <w:next w:val="Normal"/>
    <w:link w:val="Heading9Char"/>
    <w:qFormat/>
    <w:rsid w:val="00BF0DE1"/>
    <w:pPr>
      <w:ind w:left="720"/>
      <w:outlineLvl w:val="8"/>
    </w:pPr>
    <w:rPr>
      <w:i/>
    </w:rPr>
  </w:style>
  <w:style w:type="character" w:default="1" w:styleId="DefaultParagraphFont">
    <w:name w:val="Default Paragraph Font"/>
    <w:uiPriority w:val="1"/>
    <w:unhideWhenUsed/>
    <w:rsid w:val="00BF0DE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F0DE1"/>
  </w:style>
  <w:style w:type="character" w:customStyle="1" w:styleId="Heading1Char">
    <w:name w:val="Heading 1 Char"/>
    <w:basedOn w:val="DefaultParagraphFont"/>
    <w:link w:val="Heading1"/>
    <w:rsid w:val="00BF0DE1"/>
    <w:rPr>
      <w:rFonts w:ascii="Times New Roman" w:eastAsia="Times New Roman" w:hAnsi="Times New Roman" w:cs="Times New Roman"/>
      <w:b/>
      <w:sz w:val="32"/>
      <w:szCs w:val="20"/>
      <w:lang w:eastAsia="en-US"/>
    </w:rPr>
  </w:style>
  <w:style w:type="paragraph" w:styleId="BodyText">
    <w:name w:val="Body Text"/>
    <w:basedOn w:val="Normal"/>
    <w:link w:val="BodyTextChar"/>
    <w:rsid w:val="00BF0DE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F0DE1"/>
    <w:rPr>
      <w:rFonts w:ascii="Times New Roman" w:eastAsia="Times New Roman" w:hAnsi="Times New Roman" w:cs="Times New Roman"/>
      <w:sz w:val="24"/>
      <w:lang w:eastAsia="en-US"/>
    </w:rPr>
  </w:style>
  <w:style w:type="paragraph" w:styleId="ListBullet">
    <w:name w:val="List Bullet"/>
    <w:basedOn w:val="List"/>
    <w:rsid w:val="00BF0DE1"/>
    <w:pPr>
      <w:numPr>
        <w:numId w:val="12"/>
      </w:numPr>
      <w:tabs>
        <w:tab w:val="clear" w:pos="340"/>
      </w:tabs>
      <w:spacing w:before="40" w:after="40"/>
    </w:pPr>
  </w:style>
  <w:style w:type="character" w:customStyle="1" w:styleId="SpecialBold">
    <w:name w:val="Special Bold"/>
    <w:basedOn w:val="DefaultParagraphFont"/>
    <w:rsid w:val="00BF0DE1"/>
    <w:rPr>
      <w:b/>
      <w:spacing w:val="0"/>
    </w:rPr>
  </w:style>
  <w:style w:type="paragraph" w:styleId="ListBullet2">
    <w:name w:val="List Bullet 2"/>
    <w:basedOn w:val="List2"/>
    <w:rsid w:val="00BF0DE1"/>
    <w:pPr>
      <w:numPr>
        <w:numId w:val="13"/>
      </w:numPr>
      <w:tabs>
        <w:tab w:val="clear" w:pos="680"/>
      </w:tabs>
    </w:pPr>
  </w:style>
  <w:style w:type="paragraph" w:customStyle="1" w:styleId="SuperHeading">
    <w:name w:val="SuperHeading"/>
    <w:basedOn w:val="Normal"/>
    <w:rsid w:val="00BF0DE1"/>
    <w:pPr>
      <w:spacing w:before="240" w:after="120"/>
      <w:outlineLvl w:val="0"/>
    </w:pPr>
    <w:rPr>
      <w:rFonts w:ascii="Times New Roman" w:hAnsi="Times New Roman"/>
      <w:b/>
      <w:sz w:val="32"/>
    </w:rPr>
  </w:style>
  <w:style w:type="paragraph" w:customStyle="1" w:styleId="AllowPageBreak">
    <w:name w:val="AllowPageBreak"/>
    <w:rsid w:val="00BF0DE1"/>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F0DE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F0DE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F0DE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F0DE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F0DE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F0DE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F0DE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F0DE1"/>
    <w:rPr>
      <w:rFonts w:ascii="Courier New" w:eastAsia="Times New Roman" w:hAnsi="Courier New" w:cs="Times New Roman"/>
      <w:i/>
      <w:szCs w:val="20"/>
      <w:lang w:eastAsia="en-US"/>
    </w:rPr>
  </w:style>
  <w:style w:type="paragraph" w:customStyle="1" w:styleId="HeadingBase">
    <w:name w:val="Heading Base"/>
    <w:rsid w:val="00BF0DE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F0DE1"/>
    <w:pPr>
      <w:tabs>
        <w:tab w:val="right" w:leader="dot" w:pos="9072"/>
      </w:tabs>
      <w:ind w:left="567"/>
    </w:pPr>
    <w:rPr>
      <w:szCs w:val="22"/>
    </w:rPr>
  </w:style>
  <w:style w:type="paragraph" w:customStyle="1" w:styleId="TOCBase">
    <w:name w:val="TOC Base"/>
    <w:rsid w:val="00BF0DE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F0DE1"/>
    <w:pPr>
      <w:tabs>
        <w:tab w:val="right" w:leader="dot" w:pos="9072"/>
      </w:tabs>
      <w:spacing w:before="40" w:after="40"/>
      <w:ind w:left="284"/>
    </w:pPr>
    <w:rPr>
      <w:rFonts w:ascii="Times New Roman" w:hAnsi="Times New Roman"/>
    </w:rPr>
  </w:style>
  <w:style w:type="paragraph" w:styleId="TOC1">
    <w:name w:val="toc 1"/>
    <w:basedOn w:val="TOCBase"/>
    <w:next w:val="Normal"/>
    <w:rsid w:val="00BF0DE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F0DE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F0DE1"/>
    <w:rPr>
      <w:rFonts w:ascii="Times New Roman" w:eastAsia="Times New Roman" w:hAnsi="Times New Roman" w:cs="Times New Roman"/>
      <w:sz w:val="16"/>
      <w:lang w:eastAsia="en-US"/>
    </w:rPr>
  </w:style>
  <w:style w:type="paragraph" w:styleId="Title">
    <w:name w:val="Title"/>
    <w:basedOn w:val="HeadingBase"/>
    <w:link w:val="TitleChar"/>
    <w:qFormat/>
    <w:rsid w:val="00BF0DE1"/>
    <w:pPr>
      <w:spacing w:before="5040"/>
      <w:jc w:val="center"/>
    </w:pPr>
    <w:rPr>
      <w:sz w:val="48"/>
      <w:szCs w:val="72"/>
      <w:lang w:val="en-US"/>
    </w:rPr>
  </w:style>
  <w:style w:type="character" w:customStyle="1" w:styleId="TitleChar">
    <w:name w:val="Title Char"/>
    <w:basedOn w:val="DefaultParagraphFont"/>
    <w:link w:val="Title"/>
    <w:rsid w:val="00BF0DE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F0DE1"/>
    <w:pPr>
      <w:tabs>
        <w:tab w:val="left" w:pos="3600"/>
        <w:tab w:val="left" w:pos="3958"/>
      </w:tabs>
    </w:pPr>
  </w:style>
  <w:style w:type="paragraph" w:styleId="List">
    <w:name w:val="List"/>
    <w:basedOn w:val="BodyText"/>
    <w:next w:val="BodyText"/>
    <w:rsid w:val="00BF0DE1"/>
    <w:pPr>
      <w:tabs>
        <w:tab w:val="left" w:pos="340"/>
      </w:tabs>
      <w:spacing w:before="60" w:after="60"/>
      <w:ind w:left="340" w:hanging="340"/>
    </w:pPr>
  </w:style>
  <w:style w:type="paragraph" w:customStyle="1" w:styleId="Note">
    <w:name w:val="Note"/>
    <w:basedOn w:val="BodyText"/>
    <w:rsid w:val="00BF0DE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F0DE1"/>
    <w:pPr>
      <w:framePr w:wrap="auto" w:hAnchor="text" w:y="6049"/>
    </w:pPr>
    <w:rPr>
      <w:color w:val="000000"/>
      <w:sz w:val="40"/>
    </w:rPr>
  </w:style>
  <w:style w:type="paragraph" w:customStyle="1" w:styleId="TOCTitle">
    <w:name w:val="TOCTitle"/>
    <w:basedOn w:val="Heading1"/>
    <w:rsid w:val="00BF0DE1"/>
    <w:pPr>
      <w:spacing w:after="240"/>
      <w:jc w:val="center"/>
      <w:outlineLvl w:val="9"/>
    </w:pPr>
    <w:rPr>
      <w:caps/>
    </w:rPr>
  </w:style>
  <w:style w:type="paragraph" w:customStyle="1" w:styleId="Version">
    <w:name w:val="Version"/>
    <w:rsid w:val="00BF0DE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F0DE1"/>
    <w:pPr>
      <w:keepNext w:val="0"/>
      <w:tabs>
        <w:tab w:val="right" w:pos="4176"/>
      </w:tabs>
      <w:ind w:left="198" w:hanging="198"/>
    </w:pPr>
    <w:rPr>
      <w:rFonts w:ascii="Garamond" w:hAnsi="Garamond"/>
    </w:rPr>
  </w:style>
  <w:style w:type="paragraph" w:styleId="IndexHeading">
    <w:name w:val="index heading"/>
    <w:basedOn w:val="Normal"/>
    <w:next w:val="Index1"/>
    <w:semiHidden/>
    <w:rsid w:val="00BF0DE1"/>
    <w:pPr>
      <w:spacing w:before="120" w:after="120"/>
    </w:pPr>
    <w:rPr>
      <w:rFonts w:ascii="Arial" w:hAnsi="Arial"/>
      <w:b/>
      <w:color w:val="918585"/>
      <w:sz w:val="24"/>
    </w:rPr>
  </w:style>
  <w:style w:type="paragraph" w:styleId="Header">
    <w:name w:val="header"/>
    <w:basedOn w:val="Normal"/>
    <w:link w:val="HeaderChar"/>
    <w:rsid w:val="00BF0DE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F0DE1"/>
    <w:rPr>
      <w:rFonts w:ascii="Times New Roman" w:eastAsia="Times New Roman" w:hAnsi="Times New Roman" w:cs="Times New Roman"/>
      <w:sz w:val="16"/>
      <w:szCs w:val="20"/>
      <w:lang w:val="en-GB" w:eastAsia="en-US"/>
    </w:rPr>
  </w:style>
  <w:style w:type="paragraph" w:customStyle="1" w:styleId="Chapter">
    <w:name w:val="Chapter"/>
    <w:basedOn w:val="Normal"/>
    <w:rsid w:val="00BF0DE1"/>
    <w:pPr>
      <w:spacing w:before="240"/>
    </w:pPr>
    <w:rPr>
      <w:rFonts w:ascii="Times New Roman" w:hAnsi="Times New Roman"/>
      <w:smallCaps/>
      <w:spacing w:val="80"/>
      <w:sz w:val="28"/>
    </w:rPr>
  </w:style>
  <w:style w:type="paragraph" w:customStyle="1" w:styleId="InChapter">
    <w:name w:val="InChapter"/>
    <w:basedOn w:val="Heading3"/>
    <w:rsid w:val="00BF0DE1"/>
    <w:pPr>
      <w:spacing w:after="240"/>
      <w:outlineLvl w:val="9"/>
    </w:pPr>
    <w:rPr>
      <w:noProof/>
    </w:rPr>
  </w:style>
  <w:style w:type="paragraph" w:styleId="Index2">
    <w:name w:val="index 2"/>
    <w:basedOn w:val="Normal"/>
    <w:next w:val="Normal"/>
    <w:semiHidden/>
    <w:rsid w:val="00BF0DE1"/>
    <w:pPr>
      <w:tabs>
        <w:tab w:val="right" w:pos="4176"/>
      </w:tabs>
      <w:ind w:left="568" w:hanging="284"/>
    </w:pPr>
    <w:rPr>
      <w:rFonts w:ascii="Garamond" w:hAnsi="Garamond"/>
    </w:rPr>
  </w:style>
  <w:style w:type="paragraph" w:customStyle="1" w:styleId="Byline">
    <w:name w:val="Byline"/>
    <w:rsid w:val="00BF0DE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F0DE1"/>
    <w:pPr>
      <w:tabs>
        <w:tab w:val="clear" w:pos="3600"/>
        <w:tab w:val="clear" w:pos="3958"/>
      </w:tabs>
      <w:jc w:val="right"/>
    </w:pPr>
  </w:style>
  <w:style w:type="character" w:styleId="Emphasis">
    <w:name w:val="Emphasis"/>
    <w:basedOn w:val="DefaultParagraphFont"/>
    <w:qFormat/>
    <w:rsid w:val="00BF0DE1"/>
    <w:rPr>
      <w:i/>
    </w:rPr>
  </w:style>
  <w:style w:type="paragraph" w:styleId="Caption">
    <w:name w:val="caption"/>
    <w:basedOn w:val="BodyText"/>
    <w:next w:val="Normal"/>
    <w:qFormat/>
    <w:rsid w:val="00BF0DE1"/>
    <w:pPr>
      <w:framePr w:w="2268" w:hSpace="181" w:vSpace="181" w:wrap="around" w:vAnchor="text" w:hAnchor="page" w:x="1135" w:y="285" w:anchorLock="1"/>
    </w:pPr>
    <w:rPr>
      <w:i/>
    </w:rPr>
  </w:style>
  <w:style w:type="paragraph" w:customStyle="1" w:styleId="MiniTOCTitle">
    <w:name w:val="MiniTOCTitle"/>
    <w:basedOn w:val="Heading4"/>
    <w:rsid w:val="00BF0DE1"/>
    <w:pPr>
      <w:spacing w:before="240"/>
      <w:outlineLvl w:val="9"/>
    </w:pPr>
    <w:rPr>
      <w:noProof/>
      <w:sz w:val="24"/>
    </w:rPr>
  </w:style>
  <w:style w:type="paragraph" w:customStyle="1" w:styleId="MiniTOCItem">
    <w:name w:val="MiniTOCItem"/>
    <w:basedOn w:val="ListBullet"/>
    <w:rsid w:val="00BF0DE1"/>
    <w:pPr>
      <w:numPr>
        <w:numId w:val="0"/>
      </w:numPr>
      <w:tabs>
        <w:tab w:val="right" w:leader="dot" w:pos="6521"/>
      </w:tabs>
      <w:spacing w:before="0" w:after="0"/>
    </w:pPr>
  </w:style>
  <w:style w:type="paragraph" w:customStyle="1" w:styleId="TOFTitle">
    <w:name w:val="TOFTitle"/>
    <w:basedOn w:val="TOCTitle"/>
    <w:rsid w:val="00BF0DE1"/>
  </w:style>
  <w:style w:type="paragraph" w:styleId="TableofFigures">
    <w:name w:val="table of figures"/>
    <w:basedOn w:val="Normal"/>
    <w:next w:val="Normal"/>
    <w:semiHidden/>
    <w:rsid w:val="00BF0DE1"/>
    <w:pPr>
      <w:tabs>
        <w:tab w:val="right" w:leader="dot" w:pos="9072"/>
      </w:tabs>
      <w:ind w:left="970" w:hanging="403"/>
    </w:pPr>
    <w:rPr>
      <w:rFonts w:ascii="Times New Roman" w:hAnsi="Times New Roman"/>
      <w:b/>
    </w:rPr>
  </w:style>
  <w:style w:type="paragraph" w:styleId="ListNumber">
    <w:name w:val="List Number"/>
    <w:basedOn w:val="List"/>
    <w:rsid w:val="00BF0DE1"/>
    <w:pPr>
      <w:numPr>
        <w:numId w:val="15"/>
      </w:numPr>
      <w:tabs>
        <w:tab w:val="clear" w:pos="340"/>
      </w:tabs>
    </w:pPr>
  </w:style>
  <w:style w:type="character" w:customStyle="1" w:styleId="WingdingSymbols">
    <w:name w:val="Wingding Symbols"/>
    <w:rsid w:val="00BF0DE1"/>
    <w:rPr>
      <w:rFonts w:ascii="Wingdings" w:hAnsi="Wingdings"/>
    </w:rPr>
  </w:style>
  <w:style w:type="paragraph" w:customStyle="1" w:styleId="TableHeading">
    <w:name w:val="Table Heading"/>
    <w:basedOn w:val="HeadingBase"/>
    <w:rsid w:val="00BF0DE1"/>
    <w:pPr>
      <w:keepLines/>
      <w:pBdr>
        <w:bottom w:val="single" w:sz="6" w:space="1" w:color="918585"/>
      </w:pBdr>
      <w:spacing w:before="240"/>
    </w:pPr>
  </w:style>
  <w:style w:type="character" w:customStyle="1" w:styleId="HotSpot">
    <w:name w:val="HotSpot"/>
    <w:rsid w:val="00BF0DE1"/>
    <w:rPr>
      <w:color w:val="0033CC"/>
      <w:u w:val="none"/>
    </w:rPr>
  </w:style>
  <w:style w:type="paragraph" w:customStyle="1" w:styleId="BodyTextRight">
    <w:name w:val="Body Text Right"/>
    <w:basedOn w:val="BodyText"/>
    <w:rsid w:val="00BF0DE1"/>
    <w:pPr>
      <w:spacing w:before="0" w:after="0"/>
      <w:jc w:val="right"/>
    </w:pPr>
  </w:style>
  <w:style w:type="paragraph" w:styleId="Index3">
    <w:name w:val="index 3"/>
    <w:basedOn w:val="ListNumber2"/>
    <w:next w:val="Normal"/>
    <w:semiHidden/>
    <w:rsid w:val="00BF0DE1"/>
    <w:pPr>
      <w:numPr>
        <w:numId w:val="0"/>
      </w:numPr>
      <w:tabs>
        <w:tab w:val="right" w:leader="dot" w:pos="4176"/>
      </w:tabs>
    </w:pPr>
  </w:style>
  <w:style w:type="paragraph" w:styleId="ListNumber2">
    <w:name w:val="List Number 2"/>
    <w:basedOn w:val="List2"/>
    <w:rsid w:val="00BF0DE1"/>
    <w:pPr>
      <w:numPr>
        <w:numId w:val="10"/>
      </w:numPr>
      <w:tabs>
        <w:tab w:val="clear" w:pos="1060"/>
      </w:tabs>
    </w:pPr>
  </w:style>
  <w:style w:type="paragraph" w:customStyle="1" w:styleId="MarginNote">
    <w:name w:val="Margin Note"/>
    <w:basedOn w:val="BodyText"/>
    <w:rsid w:val="00BF0DE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F0DE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F0DE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F0DE1"/>
    <w:rPr>
      <w:sz w:val="32"/>
    </w:rPr>
  </w:style>
  <w:style w:type="paragraph" w:customStyle="1" w:styleId="HeadingProcedure">
    <w:name w:val="Heading Procedure"/>
    <w:basedOn w:val="HeadingBase"/>
    <w:next w:val="Normal"/>
    <w:rsid w:val="00BF0DE1"/>
    <w:pPr>
      <w:tabs>
        <w:tab w:val="left" w:pos="0"/>
      </w:tabs>
      <w:spacing w:before="120" w:after="60"/>
    </w:pPr>
    <w:rPr>
      <w:i/>
      <w:color w:val="918585"/>
      <w:sz w:val="22"/>
    </w:rPr>
  </w:style>
  <w:style w:type="paragraph" w:customStyle="1" w:styleId="TableBodyText">
    <w:name w:val="Table Body Text"/>
    <w:basedOn w:val="BodyText"/>
    <w:rsid w:val="00BF0DE1"/>
    <w:pPr>
      <w:spacing w:before="60" w:after="60"/>
    </w:pPr>
  </w:style>
  <w:style w:type="paragraph" w:styleId="ListContinue">
    <w:name w:val="List Continue"/>
    <w:basedOn w:val="List"/>
    <w:rsid w:val="00BF0DE1"/>
    <w:pPr>
      <w:ind w:firstLine="0"/>
    </w:pPr>
  </w:style>
  <w:style w:type="paragraph" w:customStyle="1" w:styleId="ListNote">
    <w:name w:val="List Note"/>
    <w:basedOn w:val="List"/>
    <w:rsid w:val="00BF0DE1"/>
    <w:pPr>
      <w:pBdr>
        <w:top w:val="single" w:sz="6" w:space="2" w:color="918585"/>
        <w:bottom w:val="single" w:sz="6" w:space="2" w:color="918585"/>
      </w:pBdr>
      <w:tabs>
        <w:tab w:val="left" w:pos="1021"/>
      </w:tabs>
      <w:ind w:firstLine="0"/>
    </w:pPr>
  </w:style>
  <w:style w:type="paragraph" w:customStyle="1" w:styleId="Warning">
    <w:name w:val="Warning"/>
    <w:basedOn w:val="BodyText"/>
    <w:rsid w:val="00BF0DE1"/>
    <w:pPr>
      <w:shd w:val="clear" w:color="auto" w:fill="D9D9D9"/>
      <w:tabs>
        <w:tab w:val="left" w:pos="992"/>
      </w:tabs>
      <w:ind w:left="119" w:right="119"/>
    </w:pPr>
    <w:rPr>
      <w:sz w:val="20"/>
    </w:rPr>
  </w:style>
  <w:style w:type="paragraph" w:customStyle="1" w:styleId="MarginIcons">
    <w:name w:val="Margin Icons"/>
    <w:basedOn w:val="BodyText"/>
    <w:rsid w:val="00BF0DE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F0DE1"/>
    <w:rPr>
      <w:rFonts w:ascii="Courier New" w:hAnsi="Courier New"/>
    </w:rPr>
  </w:style>
  <w:style w:type="paragraph" w:customStyle="1" w:styleId="NoteBullet">
    <w:name w:val="Note Bullet"/>
    <w:basedOn w:val="Note"/>
    <w:rsid w:val="00BF0DE1"/>
    <w:pPr>
      <w:tabs>
        <w:tab w:val="clear" w:pos="680"/>
      </w:tabs>
      <w:spacing w:before="60" w:after="60"/>
    </w:pPr>
  </w:style>
  <w:style w:type="paragraph" w:customStyle="1" w:styleId="SubHeading2">
    <w:name w:val="SubHeading2"/>
    <w:basedOn w:val="HeadingBase"/>
    <w:rsid w:val="00BF0DE1"/>
    <w:pPr>
      <w:spacing w:before="240" w:after="60"/>
    </w:pPr>
    <w:rPr>
      <w:sz w:val="20"/>
    </w:rPr>
  </w:style>
  <w:style w:type="paragraph" w:customStyle="1" w:styleId="SubHeading1">
    <w:name w:val="SubHeading1"/>
    <w:basedOn w:val="HeadingBase"/>
    <w:rsid w:val="00BF0DE1"/>
    <w:pPr>
      <w:spacing w:before="240" w:after="60"/>
    </w:pPr>
    <w:rPr>
      <w:color w:val="918585"/>
      <w:sz w:val="22"/>
    </w:rPr>
  </w:style>
  <w:style w:type="paragraph" w:customStyle="1" w:styleId="SideHeading">
    <w:name w:val="Side Heading"/>
    <w:basedOn w:val="HeadingBase"/>
    <w:rsid w:val="00BF0DE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F0DE1"/>
    <w:pPr>
      <w:tabs>
        <w:tab w:val="num" w:pos="360"/>
      </w:tabs>
    </w:pPr>
  </w:style>
  <w:style w:type="paragraph" w:styleId="PlainText">
    <w:name w:val="Plain Text"/>
    <w:basedOn w:val="Normal"/>
    <w:link w:val="PlainTextChar"/>
    <w:rsid w:val="00BF0DE1"/>
    <w:rPr>
      <w:sz w:val="20"/>
    </w:rPr>
  </w:style>
  <w:style w:type="character" w:customStyle="1" w:styleId="PlainTextChar">
    <w:name w:val="Plain Text Char"/>
    <w:basedOn w:val="DefaultParagraphFont"/>
    <w:link w:val="PlainText"/>
    <w:rsid w:val="00BF0DE1"/>
    <w:rPr>
      <w:rFonts w:ascii="Courier New" w:eastAsia="Times New Roman" w:hAnsi="Courier New" w:cs="Times New Roman"/>
      <w:sz w:val="20"/>
      <w:szCs w:val="20"/>
      <w:lang w:eastAsia="en-US"/>
    </w:rPr>
  </w:style>
  <w:style w:type="character" w:customStyle="1" w:styleId="MenuOption">
    <w:name w:val="Menu Option"/>
    <w:basedOn w:val="DefaultParagraphFont"/>
    <w:rsid w:val="00BF0DE1"/>
    <w:rPr>
      <w:b/>
      <w:smallCaps/>
    </w:rPr>
  </w:style>
  <w:style w:type="paragraph" w:customStyle="1" w:styleId="TableListNumber">
    <w:name w:val="Table List Number"/>
    <w:basedOn w:val="ListNumber"/>
    <w:rsid w:val="00BF0DE1"/>
    <w:pPr>
      <w:numPr>
        <w:numId w:val="0"/>
      </w:numPr>
    </w:pPr>
  </w:style>
  <w:style w:type="paragraph" w:styleId="TOC4">
    <w:name w:val="toc 4"/>
    <w:basedOn w:val="TOCBase"/>
    <w:next w:val="Normal"/>
    <w:semiHidden/>
    <w:rsid w:val="00BF0DE1"/>
    <w:pPr>
      <w:tabs>
        <w:tab w:val="right" w:leader="dot" w:pos="9071"/>
      </w:tabs>
      <w:ind w:left="1701"/>
    </w:pPr>
  </w:style>
  <w:style w:type="paragraph" w:customStyle="1" w:styleId="ListAlpha">
    <w:name w:val="List Alpha"/>
    <w:basedOn w:val="List"/>
    <w:rsid w:val="00BF0DE1"/>
    <w:pPr>
      <w:numPr>
        <w:numId w:val="9"/>
      </w:numPr>
    </w:pPr>
  </w:style>
  <w:style w:type="paragraph" w:customStyle="1" w:styleId="ListAlpha2">
    <w:name w:val="List Alpha 2"/>
    <w:basedOn w:val="List2"/>
    <w:rsid w:val="00BF0DE1"/>
    <w:pPr>
      <w:numPr>
        <w:numId w:val="8"/>
      </w:numPr>
    </w:pPr>
  </w:style>
  <w:style w:type="paragraph" w:styleId="List2">
    <w:name w:val="List 2"/>
    <w:basedOn w:val="BodyText"/>
    <w:rsid w:val="00BF0DE1"/>
    <w:pPr>
      <w:tabs>
        <w:tab w:val="left" w:pos="680"/>
      </w:tabs>
      <w:spacing w:before="60" w:after="60"/>
      <w:ind w:left="680" w:hanging="340"/>
    </w:pPr>
  </w:style>
  <w:style w:type="paragraph" w:styleId="List3">
    <w:name w:val="List 3"/>
    <w:basedOn w:val="BodyText"/>
    <w:rsid w:val="00BF0DE1"/>
    <w:pPr>
      <w:tabs>
        <w:tab w:val="left" w:pos="1021"/>
      </w:tabs>
      <w:spacing w:before="60" w:after="60"/>
      <w:ind w:left="1020" w:hanging="340"/>
    </w:pPr>
  </w:style>
  <w:style w:type="paragraph" w:styleId="List4">
    <w:name w:val="List 4"/>
    <w:basedOn w:val="BodyText"/>
    <w:rsid w:val="00BF0DE1"/>
    <w:pPr>
      <w:tabs>
        <w:tab w:val="left" w:pos="1361"/>
      </w:tabs>
      <w:spacing w:before="60" w:after="60"/>
      <w:ind w:left="1361" w:hanging="340"/>
    </w:pPr>
  </w:style>
  <w:style w:type="paragraph" w:styleId="List5">
    <w:name w:val="List 5"/>
    <w:basedOn w:val="BodyText"/>
    <w:rsid w:val="00BF0DE1"/>
    <w:pPr>
      <w:tabs>
        <w:tab w:val="left" w:pos="1701"/>
      </w:tabs>
      <w:spacing w:before="60" w:after="60"/>
      <w:ind w:left="1701" w:hanging="340"/>
    </w:pPr>
  </w:style>
  <w:style w:type="paragraph" w:styleId="ListBullet3">
    <w:name w:val="List Bullet 3"/>
    <w:basedOn w:val="List3"/>
    <w:rsid w:val="00BF0DE1"/>
    <w:pPr>
      <w:numPr>
        <w:numId w:val="14"/>
      </w:numPr>
      <w:tabs>
        <w:tab w:val="clear" w:pos="1021"/>
      </w:tabs>
      <w:ind w:left="1037" w:hanging="357"/>
    </w:pPr>
  </w:style>
  <w:style w:type="paragraph" w:styleId="ListBullet4">
    <w:name w:val="List Bullet 4"/>
    <w:basedOn w:val="List4"/>
    <w:rsid w:val="00BF0DE1"/>
    <w:pPr>
      <w:numPr>
        <w:numId w:val="3"/>
      </w:numPr>
      <w:tabs>
        <w:tab w:val="clear" w:pos="1361"/>
      </w:tabs>
    </w:pPr>
  </w:style>
  <w:style w:type="paragraph" w:styleId="ListBullet5">
    <w:name w:val="List Bullet 5"/>
    <w:basedOn w:val="List5"/>
    <w:rsid w:val="00BF0DE1"/>
    <w:pPr>
      <w:numPr>
        <w:numId w:val="4"/>
      </w:numPr>
    </w:pPr>
  </w:style>
  <w:style w:type="paragraph" w:styleId="ListContinue2">
    <w:name w:val="List Continue 2"/>
    <w:basedOn w:val="List2"/>
    <w:rsid w:val="00BF0DE1"/>
    <w:pPr>
      <w:ind w:firstLine="0"/>
    </w:pPr>
  </w:style>
  <w:style w:type="paragraph" w:styleId="ListContinue3">
    <w:name w:val="List Continue 3"/>
    <w:basedOn w:val="List3"/>
    <w:rsid w:val="00BF0DE1"/>
    <w:pPr>
      <w:ind w:left="1021" w:firstLine="0"/>
    </w:pPr>
  </w:style>
  <w:style w:type="paragraph" w:styleId="ListContinue4">
    <w:name w:val="List Continue 4"/>
    <w:basedOn w:val="List4"/>
    <w:rsid w:val="00BF0DE1"/>
    <w:pPr>
      <w:ind w:firstLine="0"/>
    </w:pPr>
  </w:style>
  <w:style w:type="paragraph" w:styleId="ListContinue5">
    <w:name w:val="List Continue 5"/>
    <w:basedOn w:val="List5"/>
    <w:rsid w:val="00BF0DE1"/>
    <w:pPr>
      <w:ind w:firstLine="0"/>
    </w:pPr>
  </w:style>
  <w:style w:type="paragraph" w:styleId="ListNumber3">
    <w:name w:val="List Number 3"/>
    <w:basedOn w:val="List3"/>
    <w:rsid w:val="00BF0DE1"/>
    <w:pPr>
      <w:numPr>
        <w:numId w:val="5"/>
      </w:numPr>
    </w:pPr>
  </w:style>
  <w:style w:type="paragraph" w:styleId="ListNumber4">
    <w:name w:val="List Number 4"/>
    <w:basedOn w:val="List4"/>
    <w:rsid w:val="00BF0DE1"/>
    <w:pPr>
      <w:numPr>
        <w:numId w:val="6"/>
      </w:numPr>
    </w:pPr>
  </w:style>
  <w:style w:type="paragraph" w:styleId="ListNumber5">
    <w:name w:val="List Number 5"/>
    <w:basedOn w:val="List5"/>
    <w:rsid w:val="00BF0DE1"/>
    <w:pPr>
      <w:numPr>
        <w:numId w:val="7"/>
      </w:numPr>
    </w:pPr>
  </w:style>
  <w:style w:type="paragraph" w:styleId="BlockText">
    <w:name w:val="Block Text"/>
    <w:basedOn w:val="Normal"/>
    <w:rsid w:val="00BF0DE1"/>
    <w:pPr>
      <w:spacing w:after="120"/>
      <w:ind w:left="1440" w:right="1440"/>
    </w:pPr>
  </w:style>
  <w:style w:type="character" w:customStyle="1" w:styleId="Subscript">
    <w:name w:val="Subscript"/>
    <w:basedOn w:val="DefaultParagraphFont"/>
    <w:rsid w:val="00BF0DE1"/>
    <w:rPr>
      <w:sz w:val="16"/>
      <w:vertAlign w:val="subscript"/>
    </w:rPr>
  </w:style>
  <w:style w:type="character" w:customStyle="1" w:styleId="Superscript">
    <w:name w:val="Superscript"/>
    <w:basedOn w:val="DefaultParagraphFont"/>
    <w:rsid w:val="00BF0DE1"/>
    <w:rPr>
      <w:sz w:val="16"/>
      <w:vertAlign w:val="superscript"/>
    </w:rPr>
  </w:style>
  <w:style w:type="character" w:customStyle="1" w:styleId="Symbols">
    <w:name w:val="Symbols"/>
    <w:basedOn w:val="DefaultParagraphFont"/>
    <w:rsid w:val="00BF0DE1"/>
    <w:rPr>
      <w:rFonts w:ascii="Symbol" w:hAnsi="Symbol"/>
    </w:rPr>
  </w:style>
  <w:style w:type="character" w:customStyle="1" w:styleId="MenuOptions">
    <w:name w:val="Menu Options"/>
    <w:basedOn w:val="DefaultParagraphFont"/>
    <w:rsid w:val="00BF0DE1"/>
    <w:rPr>
      <w:rFonts w:ascii="Arial Narrow" w:hAnsi="Arial Narrow"/>
      <w:smallCaps/>
    </w:rPr>
  </w:style>
  <w:style w:type="character" w:customStyle="1" w:styleId="Buttons">
    <w:name w:val="Buttons"/>
    <w:basedOn w:val="DefaultParagraphFont"/>
    <w:rsid w:val="00BF0DE1"/>
    <w:rPr>
      <w:b/>
    </w:rPr>
  </w:style>
  <w:style w:type="character" w:customStyle="1" w:styleId="Underlined">
    <w:name w:val="Underlined"/>
    <w:basedOn w:val="DefaultParagraphFont"/>
    <w:rsid w:val="00BF0DE1"/>
    <w:rPr>
      <w:u w:val="single"/>
    </w:rPr>
  </w:style>
  <w:style w:type="paragraph" w:customStyle="1" w:styleId="TableBodyTextRight">
    <w:name w:val="Table Body Text Right"/>
    <w:basedOn w:val="TableBodyText"/>
    <w:rsid w:val="00BF0DE1"/>
    <w:pPr>
      <w:widowControl w:val="0"/>
      <w:autoSpaceDE w:val="0"/>
      <w:autoSpaceDN w:val="0"/>
      <w:adjustRightInd w:val="0"/>
      <w:jc w:val="right"/>
    </w:pPr>
    <w:rPr>
      <w:rFonts w:cs="Arial"/>
      <w:szCs w:val="18"/>
    </w:rPr>
  </w:style>
  <w:style w:type="paragraph" w:customStyle="1" w:styleId="CopyrightText">
    <w:name w:val="Copyright Text"/>
    <w:basedOn w:val="BodyText"/>
    <w:rsid w:val="00BF0DE1"/>
    <w:rPr>
      <w:sz w:val="18"/>
    </w:rPr>
  </w:style>
  <w:style w:type="paragraph" w:customStyle="1" w:styleId="BodySmallRight">
    <w:name w:val="Body Small Right"/>
    <w:basedOn w:val="BodyTextRight"/>
    <w:rsid w:val="00BF0DE1"/>
    <w:rPr>
      <w:sz w:val="18"/>
      <w:szCs w:val="18"/>
    </w:rPr>
  </w:style>
  <w:style w:type="paragraph" w:customStyle="1" w:styleId="MarginEdition">
    <w:name w:val="Margin Edition"/>
    <w:basedOn w:val="MarginNote"/>
    <w:rsid w:val="00BF0DE1"/>
    <w:pPr>
      <w:spacing w:before="0" w:after="0"/>
    </w:pPr>
    <w:rPr>
      <w:rFonts w:ascii="Times New Roman" w:hAnsi="Times New Roman"/>
      <w:color w:val="999999"/>
    </w:rPr>
  </w:style>
  <w:style w:type="paragraph" w:customStyle="1" w:styleId="Spacer">
    <w:name w:val="Spacer"/>
    <w:basedOn w:val="Normal"/>
    <w:rsid w:val="00BF0DE1"/>
    <w:rPr>
      <w:sz w:val="2"/>
      <w:szCs w:val="2"/>
    </w:rPr>
  </w:style>
  <w:style w:type="character" w:customStyle="1" w:styleId="Small">
    <w:name w:val="Small"/>
    <w:basedOn w:val="DefaultParagraphFont"/>
    <w:rsid w:val="00BF0DE1"/>
    <w:rPr>
      <w:sz w:val="16"/>
    </w:rPr>
  </w:style>
  <w:style w:type="paragraph" w:customStyle="1" w:styleId="WideTable">
    <w:name w:val="Wide Table"/>
    <w:basedOn w:val="Normal"/>
    <w:rsid w:val="00BF0DE1"/>
    <w:pPr>
      <w:ind w:left="-1418"/>
    </w:pPr>
    <w:rPr>
      <w:sz w:val="2"/>
      <w:szCs w:val="2"/>
    </w:rPr>
  </w:style>
  <w:style w:type="character" w:styleId="PageNumber">
    <w:name w:val="page number"/>
    <w:basedOn w:val="DefaultParagraphFont"/>
    <w:rsid w:val="00BF0DE1"/>
  </w:style>
  <w:style w:type="paragraph" w:styleId="Quote">
    <w:name w:val="Quote"/>
    <w:basedOn w:val="Heading1"/>
    <w:link w:val="QuoteChar"/>
    <w:qFormat/>
    <w:rsid w:val="00BF0DE1"/>
    <w:rPr>
      <w:b w:val="0"/>
      <w:sz w:val="72"/>
      <w:szCs w:val="72"/>
      <w:lang w:val="en-NZ"/>
    </w:rPr>
  </w:style>
  <w:style w:type="character" w:customStyle="1" w:styleId="QuoteChar">
    <w:name w:val="Quote Char"/>
    <w:basedOn w:val="DefaultParagraphFont"/>
    <w:link w:val="Quote"/>
    <w:rsid w:val="00BF0DE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F0DE1"/>
    <w:pPr>
      <w:pageBreakBefore/>
    </w:pPr>
  </w:style>
  <w:style w:type="paragraph" w:customStyle="1" w:styleId="Border">
    <w:name w:val="Border"/>
    <w:basedOn w:val="Normal"/>
    <w:qFormat/>
    <w:rsid w:val="00BF0DE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F0DE1"/>
    <w:rPr>
      <w:b/>
      <w:bCs/>
      <w:i/>
      <w:iCs/>
      <w:color w:val="auto"/>
    </w:rPr>
  </w:style>
  <w:style w:type="paragraph" w:styleId="IntenseQuote">
    <w:name w:val="Intense Quote"/>
    <w:basedOn w:val="Normal"/>
    <w:next w:val="Normal"/>
    <w:link w:val="IntenseQuoteChar"/>
    <w:uiPriority w:val="30"/>
    <w:qFormat/>
    <w:rsid w:val="00BF0DE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F0DE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F0DE1"/>
    <w:rPr>
      <w:smallCaps/>
      <w:color w:val="auto"/>
      <w:u w:val="single"/>
    </w:rPr>
  </w:style>
  <w:style w:type="character" w:styleId="IntenseReference">
    <w:name w:val="Intense Reference"/>
    <w:basedOn w:val="DefaultParagraphFont"/>
    <w:uiPriority w:val="32"/>
    <w:qFormat/>
    <w:rsid w:val="00BF0DE1"/>
    <w:rPr>
      <w:b/>
      <w:bCs/>
      <w:smallCaps/>
      <w:color w:val="auto"/>
      <w:spacing w:val="5"/>
      <w:u w:val="single"/>
    </w:rPr>
  </w:style>
  <w:style w:type="paragraph" w:customStyle="1" w:styleId="2ColumnHeading">
    <w:name w:val="2Column Heading"/>
    <w:basedOn w:val="BodyText"/>
    <w:qFormat/>
    <w:rsid w:val="00BF0DE1"/>
    <w:pPr>
      <w:spacing w:after="60"/>
      <w:ind w:left="-2268"/>
    </w:pPr>
    <w:rPr>
      <w:b/>
    </w:rPr>
  </w:style>
  <w:style w:type="paragraph" w:customStyle="1" w:styleId="Heading1TOC">
    <w:name w:val="Heading1 TOC"/>
    <w:basedOn w:val="Normal"/>
    <w:qFormat/>
    <w:rsid w:val="00BF0DE1"/>
    <w:pPr>
      <w:spacing w:before="240" w:after="120"/>
    </w:pPr>
    <w:rPr>
      <w:rFonts w:ascii="Times New Roman" w:hAnsi="Times New Roman"/>
      <w:b/>
      <w:sz w:val="32"/>
    </w:rPr>
  </w:style>
  <w:style w:type="paragraph" w:customStyle="1" w:styleId="Heading2TOC">
    <w:name w:val="Heading2 TOC"/>
    <w:basedOn w:val="Normal"/>
    <w:qFormat/>
    <w:rsid w:val="00BF0DE1"/>
    <w:pPr>
      <w:spacing w:before="240" w:after="60"/>
    </w:pPr>
    <w:rPr>
      <w:rFonts w:ascii="Times New Roman" w:hAnsi="Times New Roman"/>
      <w:b/>
      <w:sz w:val="28"/>
    </w:rPr>
  </w:style>
  <w:style w:type="character" w:customStyle="1" w:styleId="Underline">
    <w:name w:val="Underline"/>
    <w:basedOn w:val="DefaultParagraphFont"/>
    <w:qFormat/>
    <w:rsid w:val="00BF0DE1"/>
    <w:rPr>
      <w:u w:val="single"/>
    </w:rPr>
  </w:style>
  <w:style w:type="character" w:customStyle="1" w:styleId="BoldandItalics">
    <w:name w:val="Bold and Italics"/>
    <w:qFormat/>
    <w:rsid w:val="00BF0DE1"/>
    <w:rPr>
      <w:b/>
      <w:i/>
      <w:u w:val="none"/>
    </w:rPr>
  </w:style>
  <w:style w:type="paragraph" w:styleId="BalloonText">
    <w:name w:val="Balloon Text"/>
    <w:basedOn w:val="Normal"/>
    <w:link w:val="BalloonTextChar"/>
    <w:rsid w:val="00BF0DE1"/>
    <w:rPr>
      <w:rFonts w:ascii="Tahoma" w:hAnsi="Tahoma" w:cs="Tahoma"/>
      <w:sz w:val="16"/>
      <w:szCs w:val="16"/>
    </w:rPr>
  </w:style>
  <w:style w:type="character" w:customStyle="1" w:styleId="BalloonTextChar">
    <w:name w:val="Balloon Text Char"/>
    <w:basedOn w:val="DefaultParagraphFont"/>
    <w:link w:val="BalloonText"/>
    <w:rsid w:val="00BF0DE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F0DE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F0DE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F0DE1"/>
    <w:rPr>
      <w:b/>
      <w:color w:val="660033"/>
      <w:spacing w:val="0"/>
    </w:rPr>
  </w:style>
  <w:style w:type="paragraph" w:customStyle="1" w:styleId="Nameditemlist">
    <w:name w:val="Named item list"/>
    <w:basedOn w:val="BodyText"/>
    <w:qFormat/>
    <w:rsid w:val="00BF0DE1"/>
    <w:pPr>
      <w:tabs>
        <w:tab w:val="left" w:pos="2835"/>
      </w:tabs>
      <w:ind w:left="2835" w:hanging="2835"/>
    </w:pPr>
  </w:style>
  <w:style w:type="paragraph" w:customStyle="1" w:styleId="BodyTextnopadding">
    <w:name w:val="Body Text no padding"/>
    <w:basedOn w:val="BodyText"/>
    <w:qFormat/>
    <w:rsid w:val="00BF0DE1"/>
    <w:pPr>
      <w:spacing w:before="0" w:after="0"/>
    </w:pPr>
  </w:style>
  <w:style w:type="paragraph" w:customStyle="1" w:styleId="BodyTextBold">
    <w:name w:val="Body Text Bold"/>
    <w:basedOn w:val="BodyText"/>
    <w:qFormat/>
    <w:rsid w:val="00BF0DE1"/>
    <w:rPr>
      <w:b/>
    </w:rPr>
  </w:style>
  <w:style w:type="character" w:styleId="Hyperlink">
    <w:name w:val="Hyperlink"/>
    <w:basedOn w:val="DefaultParagraphFont"/>
    <w:uiPriority w:val="99"/>
    <w:unhideWhenUsed/>
    <w:rsid w:val="001A127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848</Words>
  <Characters>5416</Characters>
  <Application>Microsoft Office Word</Application>
  <DocSecurity>0</DocSecurity>
  <Lines>216</Lines>
  <Paragraphs>125</Paragraphs>
  <ScaleCrop>false</ScaleCrop>
  <Company>Author-it Software Corporation Ltd.</Company>
  <LinksUpToDate>false</LinksUpToDate>
  <CharactersWithSpaces>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TLIX0042 Determine complex tariff classifications</dc:title>
  <dc:subject>Approved</dc:subject>
  <dc:creator>Industry Skills Australia</dc:creator>
  <cp:keywords>Release: 1</cp:keywords>
  <dc:description>Review Date: 12 April 2008</dc:description>
  <cp:lastModifiedBy>HSD_TPCMSd.prod</cp:lastModifiedBy>
  <cp:revision>3</cp:revision>
  <dcterms:created xsi:type="dcterms:W3CDTF">2025-03-01T13:27:00Z</dcterms:created>
  <dcterms:modified xsi:type="dcterms:W3CDTF">2025-03-01T13:27:00Z</dcterms:modified>
</cp:coreProperties>
</file>