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27EA" w:rsidP="00C827E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TLIX0040 Determine complex customs value</w:t>
      </w:r>
      <w:r>
        <w:fldChar w:fldCharType="end"/>
      </w:r>
    </w:p>
    <w:p w:rsidR="00C827EA" w:rsidP="00C827EA">
      <w:pPr>
        <w:pStyle w:val="Version"/>
        <w:sectPr w:rsidSect="00D76F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76F85" w:rsidP="00D76F85">
      <w:pPr>
        <w:pStyle w:val="SuperHeading"/>
      </w:pPr>
      <w:r w:rsidRPr="00D76F85">
        <w:t>TLIX0040 Determine complex customs value</w:t>
      </w:r>
    </w:p>
    <w:p w:rsidR="00000000" w:rsidRPr="00D76F85" w:rsidP="00D76F85">
      <w:pPr>
        <w:pStyle w:val="Heading1"/>
      </w:pPr>
      <w:bookmarkStart w:id="1" w:name="O_1232658"/>
      <w:bookmarkEnd w:id="1"/>
      <w:r w:rsidRPr="00D76F8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Release 1</w:t>
            </w:r>
            <w:r w:rsidRPr="00D76F85">
              <w:t>. This is the first release of this unit of competency in the TLI Transport and Logistics Training Package.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2" w:name="O_1232659"/>
      <w:bookmarkEnd w:id="2"/>
      <w:r w:rsidRPr="00D76F8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This unit involves the skills and knowledge required to carry out complex customs va</w:t>
            </w:r>
            <w:r w:rsidRPr="00D76F85">
              <w:t xml:space="preserve">luation in accordance with customs and relevant legislation. </w:t>
            </w:r>
          </w:p>
          <w:p w:rsidR="00000000" w:rsidRPr="00D76F85" w:rsidP="00D76F85">
            <w:pPr>
              <w:pStyle w:val="BodyText"/>
            </w:pPr>
            <w:r w:rsidRPr="00D76F85">
              <w:t>It includes applying the relevant method for the complex customs valuation required, identifying the contract of sale for customs valuation purposes, determining the price and elements of adjust</w:t>
            </w:r>
            <w:r w:rsidRPr="00D76F85">
              <w:t xml:space="preserve">ed price, and identifying elements of price related costs. It also includes calculating customs value through the application of currency conversion and recording valuation information on customs declaration. </w:t>
            </w:r>
          </w:p>
          <w:p w:rsidR="00000000" w:rsidRPr="00D76F85" w:rsidP="00D76F85">
            <w:pPr>
              <w:pStyle w:val="BodyText"/>
            </w:pPr>
            <w:r w:rsidRPr="00D76F85">
              <w:t xml:space="preserve">This unit applies to individuals working as a </w:t>
            </w:r>
            <w:r w:rsidRPr="00D76F85">
              <w:t>customs broker. Work must be carried out in compliance with the Customs Act as amended and case law concerning customs valuation.</w:t>
            </w:r>
          </w:p>
          <w:p w:rsidR="00000000" w:rsidRPr="00D76F85" w:rsidP="00D76F85">
            <w:pPr>
              <w:pStyle w:val="BodyText"/>
            </w:pPr>
            <w:r w:rsidRPr="00D76F85">
              <w:t>Work is undertaken in a range of environments, including small to large worksites, in the customs broking and international su</w:t>
            </w:r>
            <w:r w:rsidRPr="00D76F85">
              <w:t>pply chain industries.</w:t>
            </w:r>
          </w:p>
          <w:p w:rsidR="00000000" w:rsidRPr="00D76F85" w:rsidP="00D76F85">
            <w:pPr>
              <w:pStyle w:val="BodyText"/>
            </w:pPr>
            <w:r w:rsidRPr="00D76F85">
              <w:t>No licensing, legislative or certification requirements apply to this unit at the time of publication.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3" w:name="O_1232660"/>
      <w:bookmarkEnd w:id="3"/>
      <w:r w:rsidRPr="00D76F8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TLIX0039 Determine customs value.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4" w:name="O_1232661"/>
      <w:bookmarkEnd w:id="4"/>
      <w:r w:rsidRPr="00D76F8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X – Logistics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5" w:name="O_1232662"/>
      <w:bookmarkEnd w:id="5"/>
      <w:r w:rsidRPr="00D76F8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Customs Broking.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6" w:name="O_1232663"/>
      <w:bookmarkEnd w:id="6"/>
      <w:r w:rsidRPr="00D76F8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31"/>
        <w:gridCol w:w="1762"/>
        <w:gridCol w:w="612"/>
        <w:gridCol w:w="2887"/>
        <w:gridCol w:w="2774"/>
        <w:gridCol w:w="462"/>
      </w:tblGrid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ELEMENTS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PERFORMANCE CRITERIA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692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Elements describe the essential outcomes.</w:t>
            </w:r>
          </w:p>
        </w:tc>
        <w:tc>
          <w:tcPr>
            <w:tcW w:w="323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Performance criteria describe the performance n</w:t>
            </w:r>
            <w:r w:rsidRPr="00D76F85">
              <w:t xml:space="preserve">eeded to </w:t>
            </w:r>
            <w:r w:rsidRPr="00D76F85">
              <w:t>demonstrate achievement of the element.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1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Apply appropriate valuation method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1.1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Situations where transaction value method applies are recognised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1.2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Situations where the transaction valuation is unable to be determined are identified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1.3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Alternative valuation methods are identified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1.4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Variations to the order of use of valuation methods are considered and applied in accordance with the provisions of the Customs Act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1.5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Appropriate valuation method is selected and applied for th</w:t>
            </w:r>
            <w:r w:rsidRPr="00D76F85">
              <w:t xml:space="preserve">e complex customs valuation situation identified 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2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Apply elements of price</w:t>
            </w:r>
            <w:r w:rsidRPr="00D76F85">
              <w:t>-</w:t>
            </w:r>
            <w:r w:rsidRPr="00D76F85">
              <w:rPr>
                <w:rStyle w:val="SpecialBold"/>
              </w:rPr>
              <w:t>related costs for a customs valuation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2.1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 xml:space="preserve">Correct treatment of royalty or licence fee is determined and applied 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2.2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 xml:space="preserve">Correct treatment of commissions is determined and applied 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  <w:trHeight w:val="966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>3</w:t>
            </w: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rPr>
                <w:rStyle w:val="SpecialBold"/>
              </w:rPr>
              <w:t xml:space="preserve">Seek advanced ruling (valuation advice) 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3.1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Requirements for an application for valuation advice is identified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  <w:trHeight w:val="966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3.2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t>Application for a valuation advice is prepared in response to identified concerns</w:t>
            </w:r>
          </w:p>
        </w:tc>
      </w:tr>
      <w:tr w:rsidTr="00D76F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462" w:type="dxa"/>
          <w:trHeight w:val="966"/>
        </w:trPr>
        <w:tc>
          <w:tcPr>
            <w:tcW w:w="43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>
            <w:pPr>
              <w:pStyle w:val="BodyText"/>
              <w:keepLines w:val="0"/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76F85">
            <w:pPr>
              <w:pStyle w:val="BodyText"/>
              <w:rPr>
                <w:lang w:val="en-NZ"/>
              </w:rPr>
            </w:pPr>
            <w:r w:rsidRPr="00D76F85">
              <w:rPr>
                <w:rStyle w:val="SpecialBold"/>
              </w:rPr>
              <w:t>3.3</w:t>
            </w:r>
          </w:p>
        </w:tc>
        <w:tc>
          <w:tcPr>
            <w:tcW w:w="56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Legislative and case law references are included in the application for valuation advice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7" w:name="O_1232664"/>
      <w:bookmarkEnd w:id="7"/>
      <w:r w:rsidRPr="00D76F8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Foundation skills essential to perfo</w:t>
            </w:r>
            <w:r w:rsidRPr="00D76F85">
              <w:t>rmance are explicit in the performance criteria of this unit of competency.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8" w:name="O_1232665"/>
      <w:bookmarkEnd w:id="8"/>
      <w:r w:rsidRPr="00D76F8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Range is restricted to essential operating conditions and any other variables essential to the work environment.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9" w:name="O_1232666"/>
      <w:bookmarkEnd w:id="9"/>
      <w:r w:rsidRPr="00D76F8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76F8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76F85" w:rsidP="00D76F85">
            <w:pPr>
              <w:pStyle w:val="BodyText"/>
            </w:pPr>
            <w:r w:rsidRPr="00D76F85">
              <w:t>This unit replaces but is not equivalent to TLIX5052 Determine complex customs value.</w:t>
            </w:r>
          </w:p>
        </w:tc>
      </w:tr>
    </w:tbl>
    <w:p w:rsidR="00C827EA" w:rsidP="00D76F85">
      <w:pPr>
        <w:pStyle w:val="NoPaddingFontSize1"/>
      </w:pPr>
    </w:p>
    <w:p w:rsidR="00C827EA" w:rsidP="00D76F85">
      <w:pPr>
        <w:pStyle w:val="NoPaddingFontSize1"/>
      </w:pPr>
    </w:p>
    <w:p w:rsidR="00000000" w:rsidRPr="00D76F85" w:rsidP="00D76F85">
      <w:pPr>
        <w:pStyle w:val="Heading1"/>
      </w:pPr>
      <w:bookmarkStart w:id="10" w:name="O_1232673"/>
      <w:bookmarkEnd w:id="10"/>
      <w:r w:rsidRPr="00D76F85">
        <w:t>Links</w:t>
      </w:r>
    </w:p>
    <w:p w:rsidR="00000000" w:rsidRPr="00D76F85" w:rsidP="00C827EA">
      <w:pPr>
        <w:pStyle w:val="BodyText"/>
      </w:pPr>
      <w:r w:rsidRPr="00D76F8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8408AB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D76F85" w:rsidP="00D76F85"/>
    <w:sectPr w:rsidSect="00D76F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 w:rsidRPr="00C827EA" w:rsidP="00C827E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EA" w:rsidP="00D76F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27EA" w:rsidP="00D76F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C827EA" w:rsidP="00D76F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E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76F85" w:rsidRPr="00C827EA" w:rsidP="00C827E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6F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27EA" w:rsidRPr="002D2AF8" w:rsidP="00D76F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TLIX0040 Determine complex customs value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C827EA" w:rsidP="00D76F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6F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76F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76F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76F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76F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76F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76F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76F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76F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76F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76F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76F85"/>
  </w:style>
  <w:style w:type="character" w:customStyle="1" w:styleId="Heading1Char">
    <w:name w:val="Heading 1 Char"/>
    <w:basedOn w:val="DefaultParagraphFont"/>
    <w:link w:val="Heading1"/>
    <w:rsid w:val="00D76F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76F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76F85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76F85"/>
    <w:rPr>
      <w:b/>
      <w:spacing w:val="0"/>
    </w:rPr>
  </w:style>
  <w:style w:type="paragraph" w:customStyle="1" w:styleId="SuperHeading">
    <w:name w:val="SuperHeading"/>
    <w:basedOn w:val="Normal"/>
    <w:rsid w:val="00D76F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76F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76F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76F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76F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7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76F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76F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76F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76F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76F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76F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76F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76F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76F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76F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76F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76F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76F8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76F8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76F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76F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76F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76F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76F8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76F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76F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76F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76F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76F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76F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76F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76F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76F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76F85"/>
    <w:rPr>
      <w:i/>
    </w:rPr>
  </w:style>
  <w:style w:type="paragraph" w:styleId="Caption">
    <w:name w:val="caption"/>
    <w:basedOn w:val="BodyText"/>
    <w:next w:val="Normal"/>
    <w:qFormat/>
    <w:rsid w:val="00D76F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76F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76F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76F85"/>
  </w:style>
  <w:style w:type="paragraph" w:styleId="TableofFigures">
    <w:name w:val="table of figures"/>
    <w:basedOn w:val="Normal"/>
    <w:next w:val="Normal"/>
    <w:semiHidden/>
    <w:rsid w:val="00D76F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76F8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76F85"/>
    <w:rPr>
      <w:rFonts w:ascii="Wingdings" w:hAnsi="Wingdings"/>
    </w:rPr>
  </w:style>
  <w:style w:type="paragraph" w:customStyle="1" w:styleId="TableHeading">
    <w:name w:val="Table Heading"/>
    <w:basedOn w:val="HeadingBase"/>
    <w:rsid w:val="00D76F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76F85"/>
    <w:rPr>
      <w:color w:val="0033CC"/>
      <w:u w:val="none"/>
    </w:rPr>
  </w:style>
  <w:style w:type="paragraph" w:customStyle="1" w:styleId="BodyTextRight">
    <w:name w:val="Body Text Right"/>
    <w:basedOn w:val="BodyText"/>
    <w:rsid w:val="00D76F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76F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76F8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76F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76F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76F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76F85"/>
    <w:rPr>
      <w:sz w:val="32"/>
    </w:rPr>
  </w:style>
  <w:style w:type="paragraph" w:customStyle="1" w:styleId="HeadingProcedure">
    <w:name w:val="Heading Procedure"/>
    <w:basedOn w:val="HeadingBase"/>
    <w:next w:val="Normal"/>
    <w:rsid w:val="00D76F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76F85"/>
    <w:pPr>
      <w:spacing w:before="60" w:after="60"/>
    </w:pPr>
  </w:style>
  <w:style w:type="paragraph" w:styleId="ListContinue">
    <w:name w:val="List Continue"/>
    <w:basedOn w:val="List"/>
    <w:rsid w:val="00D76F85"/>
    <w:pPr>
      <w:ind w:firstLine="0"/>
    </w:pPr>
  </w:style>
  <w:style w:type="paragraph" w:customStyle="1" w:styleId="ListNote">
    <w:name w:val="List Note"/>
    <w:basedOn w:val="List"/>
    <w:rsid w:val="00D76F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76F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76F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76F85"/>
    <w:rPr>
      <w:rFonts w:ascii="Courier New" w:hAnsi="Courier New"/>
    </w:rPr>
  </w:style>
  <w:style w:type="paragraph" w:customStyle="1" w:styleId="NoteBullet">
    <w:name w:val="Note Bullet"/>
    <w:basedOn w:val="Note"/>
    <w:rsid w:val="00D76F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76F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76F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76F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76F8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76F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76F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76F85"/>
    <w:rPr>
      <w:b/>
      <w:smallCaps/>
    </w:rPr>
  </w:style>
  <w:style w:type="paragraph" w:customStyle="1" w:styleId="TableListNumber">
    <w:name w:val="Table List Number"/>
    <w:basedOn w:val="ListNumber"/>
    <w:rsid w:val="00D76F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76F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76F85"/>
    <w:pPr>
      <w:numPr>
        <w:numId w:val="7"/>
      </w:numPr>
    </w:pPr>
  </w:style>
  <w:style w:type="paragraph" w:customStyle="1" w:styleId="ListAlpha2">
    <w:name w:val="List Alpha 2"/>
    <w:basedOn w:val="List2"/>
    <w:rsid w:val="00D76F85"/>
    <w:pPr>
      <w:numPr>
        <w:numId w:val="6"/>
      </w:numPr>
    </w:pPr>
  </w:style>
  <w:style w:type="paragraph" w:styleId="List2">
    <w:name w:val="List 2"/>
    <w:basedOn w:val="BodyText"/>
    <w:rsid w:val="00D76F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76F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76F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76F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76F8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76F8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76F85"/>
    <w:pPr>
      <w:numPr>
        <w:numId w:val="2"/>
      </w:numPr>
    </w:pPr>
  </w:style>
  <w:style w:type="paragraph" w:styleId="ListContinue2">
    <w:name w:val="List Continue 2"/>
    <w:basedOn w:val="List2"/>
    <w:rsid w:val="00D76F85"/>
    <w:pPr>
      <w:ind w:firstLine="0"/>
    </w:pPr>
  </w:style>
  <w:style w:type="paragraph" w:styleId="ListContinue3">
    <w:name w:val="List Continue 3"/>
    <w:basedOn w:val="List3"/>
    <w:rsid w:val="00D76F85"/>
    <w:pPr>
      <w:ind w:left="1021" w:firstLine="0"/>
    </w:pPr>
  </w:style>
  <w:style w:type="paragraph" w:styleId="ListContinue4">
    <w:name w:val="List Continue 4"/>
    <w:basedOn w:val="List4"/>
    <w:rsid w:val="00D76F85"/>
    <w:pPr>
      <w:ind w:firstLine="0"/>
    </w:pPr>
  </w:style>
  <w:style w:type="paragraph" w:styleId="ListContinue5">
    <w:name w:val="List Continue 5"/>
    <w:basedOn w:val="List5"/>
    <w:rsid w:val="00D76F85"/>
    <w:pPr>
      <w:ind w:firstLine="0"/>
    </w:pPr>
  </w:style>
  <w:style w:type="paragraph" w:styleId="ListNumber3">
    <w:name w:val="List Number 3"/>
    <w:basedOn w:val="List3"/>
    <w:rsid w:val="00D76F85"/>
    <w:pPr>
      <w:numPr>
        <w:numId w:val="3"/>
      </w:numPr>
    </w:pPr>
  </w:style>
  <w:style w:type="paragraph" w:styleId="ListNumber4">
    <w:name w:val="List Number 4"/>
    <w:basedOn w:val="List4"/>
    <w:rsid w:val="00D76F85"/>
    <w:pPr>
      <w:numPr>
        <w:numId w:val="4"/>
      </w:numPr>
    </w:pPr>
  </w:style>
  <w:style w:type="paragraph" w:styleId="ListNumber5">
    <w:name w:val="List Number 5"/>
    <w:basedOn w:val="List5"/>
    <w:rsid w:val="00D76F85"/>
    <w:pPr>
      <w:numPr>
        <w:numId w:val="5"/>
      </w:numPr>
    </w:pPr>
  </w:style>
  <w:style w:type="paragraph" w:styleId="BlockText">
    <w:name w:val="Block Text"/>
    <w:basedOn w:val="Normal"/>
    <w:rsid w:val="00D76F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76F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76F85"/>
    <w:rPr>
      <w:sz w:val="16"/>
      <w:vertAlign w:val="superscript"/>
    </w:rPr>
  </w:style>
  <w:style w:type="character" w:customStyle="1" w:styleId="Symbols">
    <w:name w:val="Symbols"/>
    <w:basedOn w:val="DefaultParagraphFont"/>
    <w:rsid w:val="00D76F85"/>
    <w:rPr>
      <w:rFonts w:ascii="Symbol" w:hAnsi="Symbol"/>
    </w:rPr>
  </w:style>
  <w:style w:type="character" w:customStyle="1" w:styleId="MenuOptions">
    <w:name w:val="Menu Options"/>
    <w:basedOn w:val="DefaultParagraphFont"/>
    <w:rsid w:val="00D76F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76F85"/>
    <w:rPr>
      <w:b/>
    </w:rPr>
  </w:style>
  <w:style w:type="character" w:customStyle="1" w:styleId="Underlined">
    <w:name w:val="Underlined"/>
    <w:basedOn w:val="DefaultParagraphFont"/>
    <w:rsid w:val="00D76F85"/>
    <w:rPr>
      <w:u w:val="single"/>
    </w:rPr>
  </w:style>
  <w:style w:type="paragraph" w:customStyle="1" w:styleId="TableBodyTextRight">
    <w:name w:val="Table Body Text Right"/>
    <w:basedOn w:val="TableBodyText"/>
    <w:rsid w:val="00D76F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76F85"/>
    <w:rPr>
      <w:sz w:val="18"/>
    </w:rPr>
  </w:style>
  <w:style w:type="paragraph" w:customStyle="1" w:styleId="BodySmallRight">
    <w:name w:val="Body Small Right"/>
    <w:basedOn w:val="BodyTextRight"/>
    <w:rsid w:val="00D76F85"/>
    <w:rPr>
      <w:sz w:val="18"/>
      <w:szCs w:val="18"/>
    </w:rPr>
  </w:style>
  <w:style w:type="paragraph" w:customStyle="1" w:styleId="MarginEdition">
    <w:name w:val="Margin Edition"/>
    <w:basedOn w:val="MarginNote"/>
    <w:rsid w:val="00D76F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76F85"/>
    <w:rPr>
      <w:sz w:val="2"/>
      <w:szCs w:val="2"/>
    </w:rPr>
  </w:style>
  <w:style w:type="character" w:customStyle="1" w:styleId="Small">
    <w:name w:val="Small"/>
    <w:basedOn w:val="DefaultParagraphFont"/>
    <w:rsid w:val="00D76F85"/>
    <w:rPr>
      <w:sz w:val="16"/>
    </w:rPr>
  </w:style>
  <w:style w:type="paragraph" w:customStyle="1" w:styleId="WideTable">
    <w:name w:val="Wide Table"/>
    <w:basedOn w:val="Normal"/>
    <w:rsid w:val="00D76F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76F85"/>
  </w:style>
  <w:style w:type="paragraph" w:styleId="Quote">
    <w:name w:val="Quote"/>
    <w:basedOn w:val="Heading1"/>
    <w:link w:val="QuoteChar"/>
    <w:qFormat/>
    <w:rsid w:val="00D76F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76F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76F85"/>
    <w:pPr>
      <w:pageBreakBefore/>
    </w:pPr>
  </w:style>
  <w:style w:type="paragraph" w:customStyle="1" w:styleId="Border">
    <w:name w:val="Border"/>
    <w:basedOn w:val="Normal"/>
    <w:qFormat/>
    <w:rsid w:val="00D76F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76F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76F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76F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76F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76F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76F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76F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76F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76F85"/>
    <w:rPr>
      <w:u w:val="single"/>
    </w:rPr>
  </w:style>
  <w:style w:type="character" w:customStyle="1" w:styleId="BoldandItalics">
    <w:name w:val="Bold and Italics"/>
    <w:qFormat/>
    <w:rsid w:val="00D76F85"/>
    <w:rPr>
      <w:b/>
      <w:i/>
      <w:u w:val="none"/>
    </w:rPr>
  </w:style>
  <w:style w:type="paragraph" w:styleId="BalloonText">
    <w:name w:val="Balloon Text"/>
    <w:basedOn w:val="Normal"/>
    <w:link w:val="BalloonTextChar"/>
    <w:rsid w:val="00D76F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76F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76F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76F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76F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76F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76F85"/>
    <w:pPr>
      <w:spacing w:before="0" w:after="0"/>
    </w:pPr>
  </w:style>
  <w:style w:type="paragraph" w:customStyle="1" w:styleId="BodyTextBold">
    <w:name w:val="Body Text Bold"/>
    <w:basedOn w:val="BodyText"/>
    <w:qFormat/>
    <w:rsid w:val="00D76F85"/>
    <w:rPr>
      <w:b/>
    </w:rPr>
  </w:style>
  <w:style w:type="character" w:styleId="Hyperlink">
    <w:name w:val="Hyperlink"/>
    <w:basedOn w:val="DefaultParagraphFont"/>
    <w:uiPriority w:val="99"/>
    <w:unhideWhenUsed/>
    <w:rsid w:val="00C827E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456</Words>
  <Characters>2818</Characters>
  <Application>Microsoft Office Word</Application>
  <DocSecurity>0</DocSecurity>
  <Lines>140</Lines>
  <Paragraphs>69</Paragraphs>
  <ScaleCrop>false</ScaleCrop>
  <Company>Author-it Software Corporation Ltd.</Company>
  <LinksUpToDate>false</LinksUpToDate>
  <CharactersWithSpaces>3205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TLIX0040 Determine complex customs value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2024-07-12T07:17:00Z</dcterms:created>
  <dcterms:modified xsi:type="dcterms:W3CDTF">2024-07-12T07:17:00Z</dcterms:modified>
</cp:coreProperties>
</file>