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060" w:rsidP="00167060">
      <w:pPr>
        <w:pStyle w:val="Title"/>
      </w:pPr>
      <w:r>
        <w:fldChar w:fldCharType="begin"/>
      </w:r>
      <w:r>
        <w:instrText xml:space="preserve"> TITLE   \* MERGEFORMAT </w:instrText>
      </w:r>
      <w:r>
        <w:fldChar w:fldCharType="separate"/>
      </w:r>
      <w:r>
        <w:t>TLIX0040 Determine complex customs value</w:t>
      </w:r>
      <w:r>
        <w:fldChar w:fldCharType="end"/>
      </w:r>
    </w:p>
    <w:p w:rsidR="00167060" w:rsidP="00167060">
      <w:pPr>
        <w:pStyle w:val="Version"/>
        <w:sectPr w:rsidSect="003800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014" w:rsidP="00380014">
      <w:pPr>
        <w:pStyle w:val="SuperHeading"/>
      </w:pPr>
      <w:r w:rsidRPr="00380014">
        <w:t>TLIX0040 Determine complex customs value</w:t>
      </w:r>
    </w:p>
    <w:p w:rsidR="00000000" w:rsidRPr="00380014" w:rsidP="00380014">
      <w:pPr>
        <w:pStyle w:val="Heading1"/>
      </w:pPr>
      <w:bookmarkStart w:id="1" w:name="O_1232658"/>
      <w:bookmarkEnd w:id="1"/>
      <w:r w:rsidRPr="00380014">
        <w:t>Modification History</w:t>
      </w:r>
    </w:p>
    <w:tbl>
      <w:tblPr>
        <w:tblW w:w="9497" w:type="dxa"/>
        <w:tblLayout w:type="fixed"/>
        <w:tblCellMar>
          <w:left w:w="62" w:type="dxa"/>
          <w:right w:w="62" w:type="dxa"/>
        </w:tblCellMar>
        <w:tblLook w:val="0000"/>
      </w:tblPr>
      <w:tblGrid>
        <w:gridCol w:w="9497"/>
      </w:tblGrid>
      <w:tr w:rsidTr="00380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014" w:rsidP="00380014">
            <w:pPr>
              <w:pStyle w:val="BodyText"/>
            </w:pPr>
            <w:r w:rsidRPr="00380014">
              <w:rPr>
                <w:rStyle w:val="SpecialBold"/>
              </w:rPr>
              <w:t>Release 1</w:t>
            </w:r>
            <w:r w:rsidRPr="00380014">
              <w:t>. This is the first release of this unit of competency in the TLI Transport and Logistics Training Package.</w:t>
            </w:r>
          </w:p>
        </w:tc>
      </w:tr>
    </w:tbl>
    <w:p w:rsidR="00167060" w:rsidP="00380014">
      <w:pPr>
        <w:pStyle w:val="NoPaddingFontSize1"/>
      </w:pPr>
    </w:p>
    <w:p w:rsidR="00167060" w:rsidP="00380014">
      <w:pPr>
        <w:pStyle w:val="NoPaddingFontSize1"/>
      </w:pPr>
    </w:p>
    <w:p w:rsidR="00000000" w:rsidRPr="00380014" w:rsidP="00380014">
      <w:pPr>
        <w:pStyle w:val="Heading1"/>
      </w:pPr>
      <w:bookmarkStart w:id="2" w:name="O_1232659"/>
      <w:bookmarkEnd w:id="2"/>
      <w:r w:rsidRPr="00380014">
        <w:t>Application</w:t>
      </w:r>
    </w:p>
    <w:tbl>
      <w:tblPr>
        <w:tblW w:w="9497" w:type="dxa"/>
        <w:tblLayout w:type="fixed"/>
        <w:tblCellMar>
          <w:left w:w="62" w:type="dxa"/>
          <w:right w:w="62" w:type="dxa"/>
        </w:tblCellMar>
        <w:tblLook w:val="0000"/>
      </w:tblPr>
      <w:tblGrid>
        <w:gridCol w:w="9497"/>
      </w:tblGrid>
      <w:tr w:rsidTr="00380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014" w:rsidP="00380014">
            <w:pPr>
              <w:pStyle w:val="BodyText"/>
            </w:pPr>
            <w:r w:rsidRPr="00380014">
              <w:t>This unit involves the skills and knowledge required to carry out complex customs va</w:t>
            </w:r>
            <w:r w:rsidRPr="00380014">
              <w:t xml:space="preserve">luation in accordance with customs and relevant legislation. </w:t>
            </w:r>
          </w:p>
          <w:p w:rsidR="00000000" w:rsidRPr="00380014" w:rsidP="00380014">
            <w:pPr>
              <w:pStyle w:val="BodyText"/>
            </w:pPr>
            <w:r w:rsidRPr="00380014">
              <w:t>It includes applying the relevant method for the complex customs valuation required, identifying the contract of sale for customs valuation purposes, determining the price and elements of adjust</w:t>
            </w:r>
            <w:r w:rsidRPr="00380014">
              <w:t xml:space="preserve">ed price, and identifying elements of price related costs. It also includes calculating customs value through the application of currency conversion and recording valuation information on customs declaration. </w:t>
            </w:r>
          </w:p>
          <w:p w:rsidR="00000000" w:rsidRPr="00380014" w:rsidP="00380014">
            <w:pPr>
              <w:pStyle w:val="BodyText"/>
            </w:pPr>
            <w:r w:rsidRPr="00380014">
              <w:t xml:space="preserve">This unit applies to individuals working as a </w:t>
            </w:r>
            <w:r w:rsidRPr="00380014">
              <w:t>customs broker. Work must be carried out in compliance with the Customs Act as amended and case law concerning customs valuation.</w:t>
            </w:r>
          </w:p>
          <w:p w:rsidR="00000000" w:rsidRPr="00380014" w:rsidP="00380014">
            <w:pPr>
              <w:pStyle w:val="BodyText"/>
            </w:pPr>
            <w:r w:rsidRPr="00380014">
              <w:t>Work is undertaken in a range of environments, including small to large worksites, in the customs broking and international su</w:t>
            </w:r>
            <w:r w:rsidRPr="00380014">
              <w:t>pply chain industries.</w:t>
            </w:r>
          </w:p>
          <w:p w:rsidR="00000000" w:rsidRPr="00380014" w:rsidP="00380014">
            <w:pPr>
              <w:pStyle w:val="BodyText"/>
            </w:pPr>
            <w:r w:rsidRPr="00380014">
              <w:t>No licensing, legislative or certification requirements apply to this unit at the time of publication.</w:t>
            </w:r>
          </w:p>
        </w:tc>
      </w:tr>
    </w:tbl>
    <w:p w:rsidR="00167060" w:rsidP="00380014">
      <w:pPr>
        <w:pStyle w:val="NoPaddingFontSize1"/>
      </w:pPr>
    </w:p>
    <w:p w:rsidR="00167060" w:rsidP="00380014">
      <w:pPr>
        <w:pStyle w:val="NoPaddingFontSize1"/>
      </w:pPr>
    </w:p>
    <w:p w:rsidR="00000000" w:rsidRPr="00380014" w:rsidP="00380014">
      <w:pPr>
        <w:pStyle w:val="Heading1"/>
      </w:pPr>
      <w:bookmarkStart w:id="3" w:name="O_1232660"/>
      <w:bookmarkEnd w:id="3"/>
      <w:r w:rsidRPr="00380014">
        <w:t>Pre-requisite Unit</w:t>
      </w:r>
    </w:p>
    <w:tbl>
      <w:tblPr>
        <w:tblW w:w="9497" w:type="dxa"/>
        <w:tblLayout w:type="fixed"/>
        <w:tblCellMar>
          <w:left w:w="62" w:type="dxa"/>
          <w:right w:w="62" w:type="dxa"/>
        </w:tblCellMar>
        <w:tblLook w:val="0000"/>
      </w:tblPr>
      <w:tblGrid>
        <w:gridCol w:w="9497"/>
      </w:tblGrid>
      <w:tr w:rsidTr="00380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014" w:rsidP="00380014">
            <w:pPr>
              <w:pStyle w:val="BodyText"/>
            </w:pPr>
            <w:r w:rsidRPr="00380014">
              <w:t>TLIX0039 Determine customs value.</w:t>
            </w:r>
          </w:p>
        </w:tc>
      </w:tr>
    </w:tbl>
    <w:p w:rsidR="00167060" w:rsidP="00380014">
      <w:pPr>
        <w:pStyle w:val="NoPaddingFontSize1"/>
      </w:pPr>
    </w:p>
    <w:p w:rsidR="00167060" w:rsidP="00380014">
      <w:pPr>
        <w:pStyle w:val="NoPaddingFontSize1"/>
      </w:pPr>
    </w:p>
    <w:p w:rsidR="00000000" w:rsidRPr="00380014" w:rsidP="00380014">
      <w:pPr>
        <w:pStyle w:val="Heading1"/>
      </w:pPr>
      <w:bookmarkStart w:id="4" w:name="O_1232661"/>
      <w:bookmarkEnd w:id="4"/>
      <w:r w:rsidRPr="00380014">
        <w:t>Competency Field</w:t>
      </w:r>
    </w:p>
    <w:tbl>
      <w:tblPr>
        <w:tblW w:w="9497" w:type="dxa"/>
        <w:tblLayout w:type="fixed"/>
        <w:tblCellMar>
          <w:left w:w="62" w:type="dxa"/>
          <w:right w:w="62" w:type="dxa"/>
        </w:tblCellMar>
        <w:tblLook w:val="0000"/>
      </w:tblPr>
      <w:tblGrid>
        <w:gridCol w:w="9497"/>
      </w:tblGrid>
      <w:tr w:rsidTr="00380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014" w:rsidP="00380014">
            <w:pPr>
              <w:pStyle w:val="BodyText"/>
            </w:pPr>
            <w:r w:rsidRPr="00380014">
              <w:t>X – Logistics</w:t>
            </w:r>
          </w:p>
        </w:tc>
      </w:tr>
    </w:tbl>
    <w:p w:rsidR="00167060" w:rsidP="00380014">
      <w:pPr>
        <w:pStyle w:val="NoPaddingFontSize1"/>
      </w:pPr>
    </w:p>
    <w:p w:rsidR="00167060" w:rsidP="00380014">
      <w:pPr>
        <w:pStyle w:val="NoPaddingFontSize1"/>
      </w:pPr>
    </w:p>
    <w:p w:rsidR="00000000" w:rsidRPr="00380014" w:rsidP="00380014">
      <w:pPr>
        <w:pStyle w:val="Heading1"/>
      </w:pPr>
      <w:bookmarkStart w:id="5" w:name="O_1232662"/>
      <w:bookmarkEnd w:id="5"/>
      <w:r w:rsidRPr="00380014">
        <w:t>Unit Sector</w:t>
      </w:r>
    </w:p>
    <w:tbl>
      <w:tblPr>
        <w:tblW w:w="9497" w:type="dxa"/>
        <w:tblLayout w:type="fixed"/>
        <w:tblCellMar>
          <w:left w:w="62" w:type="dxa"/>
          <w:right w:w="62" w:type="dxa"/>
        </w:tblCellMar>
        <w:tblLook w:val="0000"/>
      </w:tblPr>
      <w:tblGrid>
        <w:gridCol w:w="9497"/>
      </w:tblGrid>
      <w:tr w:rsidTr="00380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014" w:rsidP="00380014">
            <w:pPr>
              <w:pStyle w:val="BodyText"/>
            </w:pPr>
            <w:r w:rsidRPr="00380014">
              <w:t>Customs Broking.</w:t>
            </w:r>
          </w:p>
        </w:tc>
      </w:tr>
    </w:tbl>
    <w:p w:rsidR="00167060" w:rsidP="00380014">
      <w:pPr>
        <w:pStyle w:val="NoPaddingFontSize1"/>
      </w:pPr>
    </w:p>
    <w:p w:rsidR="00167060" w:rsidP="00380014">
      <w:pPr>
        <w:pStyle w:val="NoPaddingFontSize1"/>
      </w:pPr>
    </w:p>
    <w:p w:rsidR="00000000" w:rsidRPr="00380014" w:rsidP="00380014">
      <w:pPr>
        <w:pStyle w:val="Heading1"/>
      </w:pPr>
      <w:bookmarkStart w:id="6" w:name="O_1232663"/>
      <w:bookmarkEnd w:id="6"/>
      <w:r w:rsidRPr="00380014">
        <w:t>Elements and Performance Criteria</w:t>
      </w:r>
    </w:p>
    <w:tbl>
      <w:tblPr>
        <w:tblW w:w="0" w:type="auto"/>
        <w:tblLayout w:type="fixed"/>
        <w:tblCellMar>
          <w:left w:w="62" w:type="dxa"/>
          <w:right w:w="62" w:type="dxa"/>
        </w:tblCellMar>
        <w:tblLook w:val="0000"/>
      </w:tblPr>
      <w:tblGrid>
        <w:gridCol w:w="431"/>
        <w:gridCol w:w="1762"/>
        <w:gridCol w:w="612"/>
        <w:gridCol w:w="2887"/>
        <w:gridCol w:w="2774"/>
        <w:gridCol w:w="462"/>
      </w:tblGrid>
      <w:tr w:rsidTr="00380014">
        <w:tblPrEx>
          <w:tblW w:w="0" w:type="auto"/>
          <w:tblLayout w:type="fixed"/>
          <w:tblCellMar>
            <w:left w:w="62" w:type="dxa"/>
            <w:right w:w="62" w:type="dxa"/>
          </w:tblCellMar>
          <w:tblLook w:val="0000"/>
        </w:tblPrEx>
        <w:tc>
          <w:tcPr>
            <w:tcW w:w="5692" w:type="dxa"/>
            <w:gridSpan w:val="4"/>
            <w:tcBorders>
              <w:top w:val="nil"/>
              <w:left w:val="nil"/>
              <w:bottom w:val="nil"/>
              <w:right w:val="nil"/>
            </w:tcBorders>
            <w:tcMar>
              <w:top w:w="0" w:type="dxa"/>
              <w:left w:w="62" w:type="dxa"/>
              <w:bottom w:w="0" w:type="dxa"/>
              <w:right w:w="62" w:type="dxa"/>
            </w:tcMar>
          </w:tcPr>
          <w:p w:rsidR="00000000" w:rsidRPr="00380014" w:rsidP="00380014">
            <w:pPr>
              <w:pStyle w:val="BodyText"/>
            </w:pPr>
            <w:r w:rsidRPr="00380014">
              <w:rPr>
                <w:rStyle w:val="SpecialBold"/>
              </w:rPr>
              <w:t>ELEMENTS</w:t>
            </w:r>
          </w:p>
        </w:tc>
        <w:tc>
          <w:tcPr>
            <w:tcW w:w="3236" w:type="dxa"/>
            <w:gridSpan w:val="2"/>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rPr>
                <w:rStyle w:val="SpecialBold"/>
              </w:rPr>
              <w:t>PERFORMANCE CRITERIA</w:t>
            </w:r>
          </w:p>
        </w:tc>
      </w:tr>
      <w:tr w:rsidTr="00380014">
        <w:tblPrEx>
          <w:tblW w:w="0" w:type="auto"/>
          <w:tblLayout w:type="fixed"/>
          <w:tblCellMar>
            <w:left w:w="62" w:type="dxa"/>
            <w:right w:w="62" w:type="dxa"/>
          </w:tblCellMar>
          <w:tblLook w:val="0000"/>
        </w:tblPrEx>
        <w:tc>
          <w:tcPr>
            <w:tcW w:w="5692" w:type="dxa"/>
            <w:gridSpan w:val="4"/>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t>Elements describe the essential outcomes.</w:t>
            </w:r>
          </w:p>
        </w:tc>
        <w:tc>
          <w:tcPr>
            <w:tcW w:w="3236" w:type="dxa"/>
            <w:gridSpan w:val="2"/>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t>Performance criteria describe the performance nee</w:t>
            </w:r>
            <w:r w:rsidRPr="00380014">
              <w:t xml:space="preserve">ded to </w:t>
            </w:r>
            <w:r w:rsidRPr="00380014">
              <w:t>demonstrate achievement of the element.</w:t>
            </w:r>
          </w:p>
        </w:tc>
      </w:tr>
      <w:tr w:rsidTr="00380014">
        <w:tblPrEx>
          <w:tblW w:w="0" w:type="auto"/>
          <w:tblLayout w:type="fixed"/>
          <w:tblCellMar>
            <w:left w:w="62" w:type="dxa"/>
            <w:right w:w="62" w:type="dxa"/>
          </w:tblCellMar>
          <w:tblLook w:val="0000"/>
        </w:tblPrEx>
        <w:trPr>
          <w:gridAfter w:val="1"/>
          <w:wAfter w:w="462" w:type="dxa"/>
        </w:trPr>
        <w:tc>
          <w:tcPr>
            <w:tcW w:w="431" w:type="dxa"/>
            <w:tcBorders>
              <w:top w:val="nil"/>
              <w:left w:val="nil"/>
              <w:bottom w:val="nil"/>
              <w:right w:val="nil"/>
            </w:tcBorders>
            <w:tcMar>
              <w:top w:w="0" w:type="dxa"/>
              <w:left w:w="62" w:type="dxa"/>
              <w:bottom w:w="0" w:type="dxa"/>
              <w:right w:w="62" w:type="dxa"/>
            </w:tcMar>
          </w:tcPr>
          <w:p w:rsidR="00000000" w:rsidRPr="00380014" w:rsidP="00380014">
            <w:pPr>
              <w:pStyle w:val="BodyText"/>
            </w:pPr>
            <w:r w:rsidRPr="00380014">
              <w:rPr>
                <w:rStyle w:val="SpecialBold"/>
              </w:rPr>
              <w:t>1</w:t>
            </w:r>
          </w:p>
        </w:tc>
        <w:tc>
          <w:tcPr>
            <w:tcW w:w="1762" w:type="dxa"/>
            <w:tcBorders>
              <w:top w:val="nil"/>
              <w:left w:val="nil"/>
              <w:bottom w:val="nil"/>
              <w:right w:val="nil"/>
            </w:tcBorders>
            <w:tcMar>
              <w:top w:w="0" w:type="dxa"/>
              <w:left w:w="62" w:type="dxa"/>
              <w:bottom w:w="0" w:type="dxa"/>
              <w:right w:w="62" w:type="dxa"/>
            </w:tcMar>
          </w:tcPr>
          <w:p w:rsidR="00000000" w:rsidRPr="00380014" w:rsidP="00380014">
            <w:pPr>
              <w:pStyle w:val="BodyText"/>
            </w:pPr>
            <w:r w:rsidRPr="00380014">
              <w:rPr>
                <w:rStyle w:val="SpecialBold"/>
              </w:rPr>
              <w:t>Apply appropriate valuation method</w:t>
            </w:r>
          </w:p>
        </w:tc>
        <w:tc>
          <w:tcPr>
            <w:tcW w:w="612" w:type="dxa"/>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rPr>
                <w:rStyle w:val="SpecialBold"/>
              </w:rPr>
              <w:t>1.1</w:t>
            </w:r>
          </w:p>
        </w:tc>
        <w:tc>
          <w:tcPr>
            <w:tcW w:w="5661" w:type="dxa"/>
            <w:gridSpan w:val="2"/>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t>Situations where transaction value method applies are recognised</w:t>
            </w:r>
          </w:p>
        </w:tc>
      </w:tr>
      <w:tr w:rsidTr="00380014">
        <w:tblPrEx>
          <w:tblW w:w="0" w:type="auto"/>
          <w:tblLayout w:type="fixed"/>
          <w:tblCellMar>
            <w:left w:w="62" w:type="dxa"/>
            <w:right w:w="62" w:type="dxa"/>
          </w:tblCellMar>
          <w:tblLook w:val="0000"/>
        </w:tblPrEx>
        <w:trPr>
          <w:gridAfter w:val="1"/>
          <w:wAfter w:w="462" w:type="dxa"/>
        </w:trPr>
        <w:tc>
          <w:tcPr>
            <w:tcW w:w="4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62" w:type="dxa"/>
            <w:tcBorders>
              <w:top w:val="nil"/>
              <w:left w:val="nil"/>
              <w:bottom w:val="nil"/>
              <w:right w:val="nil"/>
            </w:tcBorders>
            <w:tcMar>
              <w:top w:w="0" w:type="dxa"/>
              <w:left w:w="62" w:type="dxa"/>
              <w:bottom w:w="0" w:type="dxa"/>
              <w:right w:w="62" w:type="dxa"/>
            </w:tcMar>
          </w:tcPr>
          <w:p w:rsidR="00000000" w:rsidRPr="00380014">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rPr>
                <w:rStyle w:val="SpecialBold"/>
              </w:rPr>
              <w:t>1.2</w:t>
            </w:r>
          </w:p>
        </w:tc>
        <w:tc>
          <w:tcPr>
            <w:tcW w:w="5661" w:type="dxa"/>
            <w:gridSpan w:val="2"/>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t>Situations where the transaction valuation is unable to be determined are identified</w:t>
            </w:r>
          </w:p>
        </w:tc>
      </w:tr>
      <w:tr w:rsidTr="00380014">
        <w:tblPrEx>
          <w:tblW w:w="0" w:type="auto"/>
          <w:tblLayout w:type="fixed"/>
          <w:tblCellMar>
            <w:left w:w="62" w:type="dxa"/>
            <w:right w:w="62" w:type="dxa"/>
          </w:tblCellMar>
          <w:tblLook w:val="0000"/>
        </w:tblPrEx>
        <w:trPr>
          <w:gridAfter w:val="1"/>
          <w:wAfter w:w="462" w:type="dxa"/>
        </w:trPr>
        <w:tc>
          <w:tcPr>
            <w:tcW w:w="4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62" w:type="dxa"/>
            <w:tcBorders>
              <w:top w:val="nil"/>
              <w:left w:val="nil"/>
              <w:bottom w:val="nil"/>
              <w:right w:val="nil"/>
            </w:tcBorders>
            <w:tcMar>
              <w:top w:w="0" w:type="dxa"/>
              <w:left w:w="62" w:type="dxa"/>
              <w:bottom w:w="0" w:type="dxa"/>
              <w:right w:w="62" w:type="dxa"/>
            </w:tcMar>
          </w:tcPr>
          <w:p w:rsidR="00000000" w:rsidRPr="00380014">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rPr>
                <w:rStyle w:val="SpecialBold"/>
              </w:rPr>
              <w:t>1.3</w:t>
            </w:r>
          </w:p>
        </w:tc>
        <w:tc>
          <w:tcPr>
            <w:tcW w:w="5661" w:type="dxa"/>
            <w:gridSpan w:val="2"/>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t>Alternative valuation methods are identified</w:t>
            </w:r>
          </w:p>
        </w:tc>
      </w:tr>
      <w:tr w:rsidTr="00380014">
        <w:tblPrEx>
          <w:tblW w:w="0" w:type="auto"/>
          <w:tblLayout w:type="fixed"/>
          <w:tblCellMar>
            <w:left w:w="62" w:type="dxa"/>
            <w:right w:w="62" w:type="dxa"/>
          </w:tblCellMar>
          <w:tblLook w:val="0000"/>
        </w:tblPrEx>
        <w:trPr>
          <w:gridAfter w:val="1"/>
          <w:wAfter w:w="462" w:type="dxa"/>
        </w:trPr>
        <w:tc>
          <w:tcPr>
            <w:tcW w:w="4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62" w:type="dxa"/>
            <w:tcBorders>
              <w:top w:val="nil"/>
              <w:left w:val="nil"/>
              <w:bottom w:val="nil"/>
              <w:right w:val="nil"/>
            </w:tcBorders>
            <w:tcMar>
              <w:top w:w="0" w:type="dxa"/>
              <w:left w:w="62" w:type="dxa"/>
              <w:bottom w:w="0" w:type="dxa"/>
              <w:right w:w="62" w:type="dxa"/>
            </w:tcMar>
          </w:tcPr>
          <w:p w:rsidR="00000000" w:rsidRPr="00380014">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rPr>
                <w:rStyle w:val="SpecialBold"/>
              </w:rPr>
              <w:t>1.4</w:t>
            </w:r>
          </w:p>
        </w:tc>
        <w:tc>
          <w:tcPr>
            <w:tcW w:w="5661" w:type="dxa"/>
            <w:gridSpan w:val="2"/>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t>Variations to the order of use of valuation methods are considered and applied in accordance with the provisions of the Customs Act</w:t>
            </w:r>
          </w:p>
        </w:tc>
      </w:tr>
      <w:tr w:rsidTr="00380014">
        <w:tblPrEx>
          <w:tblW w:w="0" w:type="auto"/>
          <w:tblLayout w:type="fixed"/>
          <w:tblCellMar>
            <w:left w:w="62" w:type="dxa"/>
            <w:right w:w="62" w:type="dxa"/>
          </w:tblCellMar>
          <w:tblLook w:val="0000"/>
        </w:tblPrEx>
        <w:trPr>
          <w:gridAfter w:val="1"/>
          <w:wAfter w:w="462" w:type="dxa"/>
        </w:trPr>
        <w:tc>
          <w:tcPr>
            <w:tcW w:w="4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62" w:type="dxa"/>
            <w:tcBorders>
              <w:top w:val="nil"/>
              <w:left w:val="nil"/>
              <w:bottom w:val="nil"/>
              <w:right w:val="nil"/>
            </w:tcBorders>
            <w:tcMar>
              <w:top w:w="0" w:type="dxa"/>
              <w:left w:w="62" w:type="dxa"/>
              <w:bottom w:w="0" w:type="dxa"/>
              <w:right w:w="62" w:type="dxa"/>
            </w:tcMar>
          </w:tcPr>
          <w:p w:rsidR="00000000" w:rsidRPr="00380014">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rPr>
                <w:rStyle w:val="SpecialBold"/>
              </w:rPr>
              <w:t>1.5</w:t>
            </w:r>
          </w:p>
        </w:tc>
        <w:tc>
          <w:tcPr>
            <w:tcW w:w="5661" w:type="dxa"/>
            <w:gridSpan w:val="2"/>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t>Appropriate valuation method is selected and applied for the co</w:t>
            </w:r>
            <w:r w:rsidRPr="00380014">
              <w:t xml:space="preserve">mplex customs valuation situation identified </w:t>
            </w:r>
          </w:p>
        </w:tc>
      </w:tr>
      <w:tr w:rsidTr="00380014">
        <w:tblPrEx>
          <w:tblW w:w="0" w:type="auto"/>
          <w:tblLayout w:type="fixed"/>
          <w:tblCellMar>
            <w:left w:w="62" w:type="dxa"/>
            <w:right w:w="62" w:type="dxa"/>
          </w:tblCellMar>
          <w:tblLook w:val="0000"/>
        </w:tblPrEx>
        <w:trPr>
          <w:gridAfter w:val="1"/>
          <w:wAfter w:w="462" w:type="dxa"/>
        </w:trPr>
        <w:tc>
          <w:tcPr>
            <w:tcW w:w="431" w:type="dxa"/>
            <w:tcBorders>
              <w:top w:val="nil"/>
              <w:left w:val="nil"/>
              <w:bottom w:val="nil"/>
              <w:right w:val="nil"/>
            </w:tcBorders>
            <w:tcMar>
              <w:top w:w="0" w:type="dxa"/>
              <w:left w:w="62" w:type="dxa"/>
              <w:bottom w:w="0" w:type="dxa"/>
              <w:right w:w="62" w:type="dxa"/>
            </w:tcMar>
          </w:tcPr>
          <w:p w:rsidR="00000000" w:rsidRPr="00380014" w:rsidP="00380014">
            <w:pPr>
              <w:pStyle w:val="BodyText"/>
            </w:pPr>
            <w:r w:rsidRPr="00380014">
              <w:rPr>
                <w:rStyle w:val="SpecialBold"/>
              </w:rPr>
              <w:t>2</w:t>
            </w:r>
          </w:p>
        </w:tc>
        <w:tc>
          <w:tcPr>
            <w:tcW w:w="1762" w:type="dxa"/>
            <w:tcBorders>
              <w:top w:val="nil"/>
              <w:left w:val="nil"/>
              <w:bottom w:val="nil"/>
              <w:right w:val="nil"/>
            </w:tcBorders>
            <w:tcMar>
              <w:top w:w="0" w:type="dxa"/>
              <w:left w:w="62" w:type="dxa"/>
              <w:bottom w:w="0" w:type="dxa"/>
              <w:right w:w="62" w:type="dxa"/>
            </w:tcMar>
          </w:tcPr>
          <w:p w:rsidR="00000000" w:rsidRPr="00380014" w:rsidP="00380014">
            <w:pPr>
              <w:pStyle w:val="BodyText"/>
            </w:pPr>
            <w:r w:rsidRPr="00380014">
              <w:rPr>
                <w:rStyle w:val="SpecialBold"/>
              </w:rPr>
              <w:t>Apply elements of price</w:t>
            </w:r>
            <w:r w:rsidRPr="00380014">
              <w:t>-</w:t>
            </w:r>
            <w:r w:rsidRPr="00380014">
              <w:rPr>
                <w:rStyle w:val="SpecialBold"/>
              </w:rPr>
              <w:t>related costs for a customs valuation</w:t>
            </w:r>
          </w:p>
        </w:tc>
        <w:tc>
          <w:tcPr>
            <w:tcW w:w="612" w:type="dxa"/>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rPr>
                <w:rStyle w:val="SpecialBold"/>
              </w:rPr>
              <w:t>2.1</w:t>
            </w:r>
          </w:p>
        </w:tc>
        <w:tc>
          <w:tcPr>
            <w:tcW w:w="5661" w:type="dxa"/>
            <w:gridSpan w:val="2"/>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t xml:space="preserve">Correct treatment of royalty or licence fee is determined and applied </w:t>
            </w:r>
          </w:p>
        </w:tc>
      </w:tr>
      <w:tr w:rsidTr="00380014">
        <w:tblPrEx>
          <w:tblW w:w="0" w:type="auto"/>
          <w:tblLayout w:type="fixed"/>
          <w:tblCellMar>
            <w:left w:w="62" w:type="dxa"/>
            <w:right w:w="62" w:type="dxa"/>
          </w:tblCellMar>
          <w:tblLook w:val="0000"/>
        </w:tblPrEx>
        <w:trPr>
          <w:gridAfter w:val="1"/>
          <w:wAfter w:w="462" w:type="dxa"/>
        </w:trPr>
        <w:tc>
          <w:tcPr>
            <w:tcW w:w="4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62" w:type="dxa"/>
            <w:tcBorders>
              <w:top w:val="nil"/>
              <w:left w:val="nil"/>
              <w:bottom w:val="nil"/>
              <w:right w:val="nil"/>
            </w:tcBorders>
            <w:tcMar>
              <w:top w:w="0" w:type="dxa"/>
              <w:left w:w="62" w:type="dxa"/>
              <w:bottom w:w="0" w:type="dxa"/>
              <w:right w:w="62" w:type="dxa"/>
            </w:tcMar>
          </w:tcPr>
          <w:p w:rsidR="00000000" w:rsidRPr="00380014">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rPr>
                <w:rStyle w:val="SpecialBold"/>
              </w:rPr>
              <w:t>2.2</w:t>
            </w:r>
          </w:p>
        </w:tc>
        <w:tc>
          <w:tcPr>
            <w:tcW w:w="5661" w:type="dxa"/>
            <w:gridSpan w:val="2"/>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t xml:space="preserve">Correct treatment of commissions is determined and applied </w:t>
            </w:r>
          </w:p>
        </w:tc>
      </w:tr>
      <w:tr w:rsidTr="00380014">
        <w:tblPrEx>
          <w:tblW w:w="0" w:type="auto"/>
          <w:tblLayout w:type="fixed"/>
          <w:tblCellMar>
            <w:left w:w="62" w:type="dxa"/>
            <w:right w:w="62" w:type="dxa"/>
          </w:tblCellMar>
          <w:tblLook w:val="0000"/>
        </w:tblPrEx>
        <w:trPr>
          <w:gridAfter w:val="1"/>
          <w:wAfter w:w="462" w:type="dxa"/>
          <w:trHeight w:val="966"/>
        </w:trPr>
        <w:tc>
          <w:tcPr>
            <w:tcW w:w="431" w:type="dxa"/>
            <w:tcBorders>
              <w:top w:val="nil"/>
              <w:left w:val="nil"/>
              <w:bottom w:val="nil"/>
              <w:right w:val="nil"/>
            </w:tcBorders>
            <w:tcMar>
              <w:top w:w="0" w:type="dxa"/>
              <w:left w:w="62" w:type="dxa"/>
              <w:bottom w:w="0" w:type="dxa"/>
              <w:right w:w="62" w:type="dxa"/>
            </w:tcMar>
          </w:tcPr>
          <w:p w:rsidR="00000000" w:rsidRPr="00380014" w:rsidP="00380014">
            <w:pPr>
              <w:pStyle w:val="BodyText"/>
            </w:pPr>
            <w:r w:rsidRPr="00380014">
              <w:rPr>
                <w:rStyle w:val="SpecialBold"/>
              </w:rPr>
              <w:t>3</w:t>
            </w:r>
          </w:p>
        </w:tc>
        <w:tc>
          <w:tcPr>
            <w:tcW w:w="1762" w:type="dxa"/>
            <w:tcBorders>
              <w:top w:val="nil"/>
              <w:left w:val="nil"/>
              <w:bottom w:val="nil"/>
              <w:right w:val="nil"/>
            </w:tcBorders>
            <w:tcMar>
              <w:top w:w="0" w:type="dxa"/>
              <w:left w:w="62" w:type="dxa"/>
              <w:bottom w:w="0" w:type="dxa"/>
              <w:right w:w="62" w:type="dxa"/>
            </w:tcMar>
          </w:tcPr>
          <w:p w:rsidR="00000000" w:rsidRPr="00380014" w:rsidP="00380014">
            <w:pPr>
              <w:pStyle w:val="BodyText"/>
            </w:pPr>
            <w:r w:rsidRPr="00380014">
              <w:rPr>
                <w:rStyle w:val="SpecialBold"/>
              </w:rPr>
              <w:t xml:space="preserve">Seek advanced ruling (valuation advice) </w:t>
            </w:r>
          </w:p>
        </w:tc>
        <w:tc>
          <w:tcPr>
            <w:tcW w:w="612" w:type="dxa"/>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rPr>
                <w:rStyle w:val="SpecialBold"/>
              </w:rPr>
              <w:t>3.1</w:t>
            </w:r>
          </w:p>
        </w:tc>
        <w:tc>
          <w:tcPr>
            <w:tcW w:w="5661" w:type="dxa"/>
            <w:gridSpan w:val="2"/>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t>Requirements for an application for valuation advice is identified</w:t>
            </w:r>
          </w:p>
        </w:tc>
      </w:tr>
      <w:tr w:rsidTr="00380014">
        <w:tblPrEx>
          <w:tblW w:w="0" w:type="auto"/>
          <w:tblLayout w:type="fixed"/>
          <w:tblCellMar>
            <w:left w:w="62" w:type="dxa"/>
            <w:right w:w="62" w:type="dxa"/>
          </w:tblCellMar>
          <w:tblLook w:val="0000"/>
        </w:tblPrEx>
        <w:trPr>
          <w:gridAfter w:val="1"/>
          <w:wAfter w:w="462" w:type="dxa"/>
          <w:trHeight w:val="966"/>
        </w:trPr>
        <w:tc>
          <w:tcPr>
            <w:tcW w:w="4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62" w:type="dxa"/>
            <w:tcBorders>
              <w:top w:val="nil"/>
              <w:left w:val="nil"/>
              <w:bottom w:val="nil"/>
              <w:right w:val="nil"/>
            </w:tcBorders>
            <w:tcMar>
              <w:top w:w="0" w:type="dxa"/>
              <w:left w:w="62" w:type="dxa"/>
              <w:bottom w:w="0" w:type="dxa"/>
              <w:right w:w="62" w:type="dxa"/>
            </w:tcMar>
          </w:tcPr>
          <w:p w:rsidR="00000000" w:rsidRPr="00380014">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rPr>
                <w:rStyle w:val="SpecialBold"/>
              </w:rPr>
              <w:t>3.2</w:t>
            </w:r>
          </w:p>
        </w:tc>
        <w:tc>
          <w:tcPr>
            <w:tcW w:w="5661" w:type="dxa"/>
            <w:gridSpan w:val="2"/>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t>Application for a valuation advice is prepared in response to identified concerns</w:t>
            </w:r>
          </w:p>
        </w:tc>
      </w:tr>
      <w:tr w:rsidTr="00380014">
        <w:tblPrEx>
          <w:tblW w:w="0" w:type="auto"/>
          <w:tblLayout w:type="fixed"/>
          <w:tblCellMar>
            <w:left w:w="62" w:type="dxa"/>
            <w:right w:w="62" w:type="dxa"/>
          </w:tblCellMar>
          <w:tblLook w:val="0000"/>
        </w:tblPrEx>
        <w:trPr>
          <w:gridAfter w:val="1"/>
          <w:wAfter w:w="462" w:type="dxa"/>
          <w:trHeight w:val="966"/>
        </w:trPr>
        <w:tc>
          <w:tcPr>
            <w:tcW w:w="4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62" w:type="dxa"/>
            <w:tcBorders>
              <w:top w:val="nil"/>
              <w:left w:val="nil"/>
              <w:bottom w:val="nil"/>
              <w:right w:val="nil"/>
            </w:tcBorders>
            <w:tcMar>
              <w:top w:w="0" w:type="dxa"/>
              <w:left w:w="62" w:type="dxa"/>
              <w:bottom w:w="0" w:type="dxa"/>
              <w:right w:w="62" w:type="dxa"/>
            </w:tcMar>
          </w:tcPr>
          <w:p w:rsidR="00000000" w:rsidRPr="00380014">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rPr>
                <w:rStyle w:val="SpecialBold"/>
              </w:rPr>
              <w:t>3.3</w:t>
            </w:r>
          </w:p>
        </w:tc>
        <w:tc>
          <w:tcPr>
            <w:tcW w:w="5661" w:type="dxa"/>
            <w:gridSpan w:val="2"/>
            <w:tcBorders>
              <w:top w:val="nil"/>
              <w:left w:val="nil"/>
              <w:bottom w:val="nil"/>
              <w:right w:val="nil"/>
            </w:tcBorders>
            <w:tcMar>
              <w:top w:w="0" w:type="dxa"/>
              <w:left w:w="62" w:type="dxa"/>
              <w:bottom w:w="0" w:type="dxa"/>
              <w:right w:w="62" w:type="dxa"/>
            </w:tcMar>
          </w:tcPr>
          <w:p w:rsidR="00000000" w:rsidRPr="00380014" w:rsidP="00380014">
            <w:pPr>
              <w:pStyle w:val="BodyText"/>
            </w:pPr>
            <w:r w:rsidRPr="00380014">
              <w:t>Legislative and case law references are included in the application for valuation advice</w:t>
            </w:r>
          </w:p>
        </w:tc>
      </w:tr>
    </w:tbl>
    <w:p w:rsidR="00167060" w:rsidP="00380014">
      <w:pPr>
        <w:pStyle w:val="NoPaddingFontSize1"/>
      </w:pPr>
    </w:p>
    <w:p w:rsidR="00167060" w:rsidP="00380014">
      <w:pPr>
        <w:pStyle w:val="NoPaddingFontSize1"/>
      </w:pPr>
    </w:p>
    <w:p w:rsidR="00000000" w:rsidRPr="00380014" w:rsidP="00380014">
      <w:pPr>
        <w:pStyle w:val="Heading1"/>
      </w:pPr>
      <w:bookmarkStart w:id="7" w:name="O_1232664"/>
      <w:bookmarkEnd w:id="7"/>
      <w:r w:rsidRPr="00380014">
        <w:t>Foundation Skills</w:t>
      </w:r>
    </w:p>
    <w:tbl>
      <w:tblPr>
        <w:tblW w:w="9497" w:type="dxa"/>
        <w:tblLayout w:type="fixed"/>
        <w:tblCellMar>
          <w:left w:w="62" w:type="dxa"/>
          <w:right w:w="62" w:type="dxa"/>
        </w:tblCellMar>
        <w:tblLook w:val="0000"/>
      </w:tblPr>
      <w:tblGrid>
        <w:gridCol w:w="9497"/>
      </w:tblGrid>
      <w:tr w:rsidTr="00380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014" w:rsidP="00380014">
            <w:pPr>
              <w:pStyle w:val="BodyText"/>
            </w:pPr>
            <w:r w:rsidRPr="00380014">
              <w:t>Foundation skills essential to performance are explicit in the performance criteria of this unit of competency.</w:t>
            </w:r>
          </w:p>
        </w:tc>
      </w:tr>
    </w:tbl>
    <w:p w:rsidR="00167060" w:rsidP="00380014">
      <w:pPr>
        <w:pStyle w:val="NoPaddingFontSize1"/>
      </w:pPr>
    </w:p>
    <w:p w:rsidR="00167060" w:rsidP="00380014">
      <w:pPr>
        <w:pStyle w:val="NoPaddingFontSize1"/>
      </w:pPr>
    </w:p>
    <w:p w:rsidR="00000000" w:rsidRPr="00380014" w:rsidP="00380014">
      <w:pPr>
        <w:pStyle w:val="Heading1"/>
      </w:pPr>
      <w:bookmarkStart w:id="8" w:name="O_1232665"/>
      <w:bookmarkEnd w:id="8"/>
      <w:r w:rsidRPr="00380014">
        <w:t>Range of Conditions</w:t>
      </w:r>
    </w:p>
    <w:tbl>
      <w:tblPr>
        <w:tblW w:w="9497" w:type="dxa"/>
        <w:tblLayout w:type="fixed"/>
        <w:tblCellMar>
          <w:left w:w="62" w:type="dxa"/>
          <w:right w:w="62" w:type="dxa"/>
        </w:tblCellMar>
        <w:tblLook w:val="0000"/>
      </w:tblPr>
      <w:tblGrid>
        <w:gridCol w:w="9497"/>
      </w:tblGrid>
      <w:tr w:rsidTr="00380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014" w:rsidP="00380014">
            <w:pPr>
              <w:pStyle w:val="BodyText"/>
            </w:pPr>
            <w:r w:rsidRPr="00380014">
              <w:t>Range is restricted to essential operating conditions and any other variables essential to the work environment.</w:t>
            </w:r>
          </w:p>
        </w:tc>
      </w:tr>
    </w:tbl>
    <w:p w:rsidR="00167060" w:rsidP="00380014">
      <w:pPr>
        <w:pStyle w:val="NoPaddingFontSize1"/>
      </w:pPr>
    </w:p>
    <w:p w:rsidR="00167060" w:rsidP="00380014">
      <w:pPr>
        <w:pStyle w:val="NoPaddingFontSize1"/>
      </w:pPr>
    </w:p>
    <w:p w:rsidR="00000000" w:rsidRPr="00380014" w:rsidP="00380014">
      <w:pPr>
        <w:pStyle w:val="Heading1"/>
      </w:pPr>
      <w:bookmarkStart w:id="9" w:name="O_1232666"/>
      <w:bookmarkEnd w:id="9"/>
      <w:r w:rsidRPr="00380014">
        <w:t>Unit Mapping Information</w:t>
      </w:r>
    </w:p>
    <w:tbl>
      <w:tblPr>
        <w:tblW w:w="9497" w:type="dxa"/>
        <w:tblLayout w:type="fixed"/>
        <w:tblCellMar>
          <w:left w:w="62" w:type="dxa"/>
          <w:right w:w="62" w:type="dxa"/>
        </w:tblCellMar>
        <w:tblLook w:val="0000"/>
      </w:tblPr>
      <w:tblGrid>
        <w:gridCol w:w="9497"/>
      </w:tblGrid>
      <w:tr w:rsidTr="00380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014" w:rsidP="00380014">
            <w:pPr>
              <w:pStyle w:val="BodyText"/>
            </w:pPr>
            <w:r w:rsidRPr="00380014">
              <w:t>This unit replaces but is not equivalent to TLIX5052 Determine comp</w:t>
            </w:r>
            <w:r w:rsidRPr="00380014">
              <w:t>lex customs value.</w:t>
            </w:r>
          </w:p>
        </w:tc>
      </w:tr>
    </w:tbl>
    <w:p w:rsidR="00167060" w:rsidP="00380014">
      <w:pPr>
        <w:pStyle w:val="NoPaddingFontSize1"/>
      </w:pPr>
    </w:p>
    <w:p w:rsidR="00167060" w:rsidP="00380014">
      <w:pPr>
        <w:pStyle w:val="NoPaddingFontSize1"/>
      </w:pPr>
    </w:p>
    <w:p w:rsidR="00000000" w:rsidRPr="00380014" w:rsidP="00380014">
      <w:pPr>
        <w:pStyle w:val="Heading1"/>
      </w:pPr>
      <w:bookmarkStart w:id="10" w:name="O_1232673"/>
      <w:bookmarkEnd w:id="10"/>
      <w:r w:rsidRPr="00380014">
        <w:t>Links</w:t>
      </w:r>
    </w:p>
    <w:p w:rsidR="00000000" w:rsidRPr="00380014" w:rsidP="00167060">
      <w:pPr>
        <w:pStyle w:val="BodyText"/>
      </w:pPr>
      <w:r w:rsidRPr="0038001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E036E">
        <w:rPr>
          <w:rStyle w:val="Hyperlink"/>
        </w:rPr>
        <w:t>https://vetnet.gov.au/Pages/TrainingDocs.aspx?q=df441c6e-213d-43e3-874c-0b3f7036d851</w:t>
      </w:r>
      <w:r>
        <w:fldChar w:fldCharType="end"/>
      </w:r>
    </w:p>
    <w:p w:rsidR="00000000" w:rsidRPr="00380014" w:rsidP="00167060">
      <w:pPr>
        <w:pStyle w:val="BodyText"/>
        <w:sectPr w:rsidSect="00380014">
          <w:headerReference w:type="default" r:id="rId10"/>
          <w:footerReference w:type="default" r:id="rId11"/>
          <w:pgSz w:w="11908" w:h="16833"/>
          <w:pgMar w:top="1702" w:right="1418" w:bottom="1702" w:left="1418" w:header="992" w:footer="992" w:gutter="0"/>
          <w:cols w:space="720"/>
          <w:noEndnote/>
          <w:docGrid w:linePitch="299"/>
        </w:sectPr>
      </w:pPr>
    </w:p>
    <w:p w:rsidR="00000000" w:rsidRPr="00380014" w:rsidP="00380014">
      <w:pPr>
        <w:pStyle w:val="SuperHeading"/>
      </w:pPr>
      <w:r w:rsidRPr="00380014">
        <w:t>Assessment Requi</w:t>
      </w:r>
      <w:r w:rsidRPr="00380014">
        <w:t>rements for TLIX0040 Determine complex customs value</w:t>
      </w:r>
    </w:p>
    <w:p w:rsidR="00000000" w:rsidRPr="00380014" w:rsidP="00380014">
      <w:pPr>
        <w:pStyle w:val="Heading1"/>
      </w:pPr>
      <w:bookmarkStart w:id="11" w:name="O_1232668"/>
      <w:bookmarkEnd w:id="11"/>
      <w:r w:rsidRPr="00380014">
        <w:t>Modification History</w:t>
      </w:r>
    </w:p>
    <w:tbl>
      <w:tblPr>
        <w:tblW w:w="9497" w:type="dxa"/>
        <w:tblLayout w:type="fixed"/>
        <w:tblCellMar>
          <w:left w:w="62" w:type="dxa"/>
          <w:right w:w="62" w:type="dxa"/>
        </w:tblCellMar>
        <w:tblLook w:val="0000"/>
      </w:tblPr>
      <w:tblGrid>
        <w:gridCol w:w="9497"/>
      </w:tblGrid>
      <w:tr w:rsidTr="00380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014" w:rsidP="00380014">
            <w:pPr>
              <w:pStyle w:val="BodyText"/>
            </w:pPr>
            <w:r w:rsidRPr="00380014">
              <w:rPr>
                <w:rStyle w:val="SpecialBold"/>
              </w:rPr>
              <w:t>Release 1</w:t>
            </w:r>
            <w:r w:rsidRPr="00380014">
              <w:t>. This is the first release of this unit of competency in the TLI Transport and Logistics Training Package.</w:t>
            </w:r>
          </w:p>
        </w:tc>
      </w:tr>
    </w:tbl>
    <w:p w:rsidR="00167060" w:rsidP="00380014">
      <w:pPr>
        <w:pStyle w:val="NoPaddingFontSize1"/>
      </w:pPr>
    </w:p>
    <w:p w:rsidR="00167060" w:rsidP="00380014">
      <w:pPr>
        <w:pStyle w:val="NoPaddingFontSize1"/>
      </w:pPr>
    </w:p>
    <w:p w:rsidR="00000000" w:rsidRPr="00380014" w:rsidP="00380014">
      <w:pPr>
        <w:pStyle w:val="Heading1"/>
      </w:pPr>
      <w:bookmarkStart w:id="12" w:name="O_1232669"/>
      <w:bookmarkEnd w:id="12"/>
      <w:r w:rsidRPr="00380014">
        <w:t>Performance Evidence</w:t>
      </w:r>
    </w:p>
    <w:tbl>
      <w:tblPr>
        <w:tblW w:w="9497" w:type="dxa"/>
        <w:tblLayout w:type="fixed"/>
        <w:tblCellMar>
          <w:left w:w="62" w:type="dxa"/>
          <w:right w:w="62" w:type="dxa"/>
        </w:tblCellMar>
        <w:tblLook w:val="0000"/>
      </w:tblPr>
      <w:tblGrid>
        <w:gridCol w:w="9497"/>
      </w:tblGrid>
      <w:tr w:rsidTr="00380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t>Evidence required to demonstrate competence in this unit must be relevant to and satisfy all of the requirements of the elements and performance criteria on at least one occasion and include:</w:t>
            </w:r>
          </w:p>
        </w:tc>
      </w:tr>
      <w:tr w:rsidTr="00380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014" w:rsidP="00380014">
            <w:pPr>
              <w:pStyle w:val="ListBullet"/>
            </w:pPr>
            <w:r w:rsidRPr="00380014">
              <w:t>calculating customs value</w:t>
            </w:r>
          </w:p>
          <w:p w:rsidR="00000000" w:rsidRPr="00380014" w:rsidP="00380014">
            <w:pPr>
              <w:pStyle w:val="ListBullet"/>
            </w:pPr>
            <w:r w:rsidRPr="00380014">
              <w:t xml:space="preserve">calculating the duty payable </w:t>
            </w:r>
          </w:p>
          <w:p w:rsidR="00000000" w:rsidRPr="00380014" w:rsidP="00380014">
            <w:pPr>
              <w:pStyle w:val="ListBullet"/>
            </w:pPr>
            <w:r w:rsidRPr="00380014">
              <w:t>identi</w:t>
            </w:r>
            <w:r w:rsidRPr="00380014">
              <w:t xml:space="preserve">fying import sales transaction </w:t>
            </w:r>
          </w:p>
          <w:p w:rsidR="00000000" w:rsidRPr="00380014" w:rsidP="00380014">
            <w:pPr>
              <w:pStyle w:val="ListBullet"/>
            </w:pPr>
            <w:r w:rsidRPr="00380014">
              <w:t xml:space="preserve">identifying price and elements of adjusted price </w:t>
            </w:r>
          </w:p>
          <w:p w:rsidR="00000000" w:rsidRPr="00380014" w:rsidP="00380014">
            <w:pPr>
              <w:pStyle w:val="ListBullet"/>
            </w:pPr>
            <w:r w:rsidRPr="00380014">
              <w:t xml:space="preserve">identifying price-related costs </w:t>
            </w:r>
          </w:p>
          <w:p w:rsidR="00000000" w:rsidRPr="00380014" w:rsidP="00380014">
            <w:pPr>
              <w:pStyle w:val="ListBullet"/>
            </w:pPr>
            <w:r w:rsidRPr="00380014">
              <w:t>identifying required method for a customs valuation.</w:t>
            </w:r>
          </w:p>
        </w:tc>
      </w:tr>
    </w:tbl>
    <w:p w:rsidR="00000000" w:rsidRPr="00380014" w:rsidP="00380014">
      <w:pPr>
        <w:pStyle w:val="NoPaddingFontSize1"/>
      </w:pPr>
    </w:p>
    <w:p w:rsidR="00000000" w:rsidRPr="00380014" w:rsidP="00380014">
      <w:pPr>
        <w:pStyle w:val="AllowPageBreak"/>
      </w:pPr>
    </w:p>
    <w:p w:rsidR="00000000" w:rsidRPr="00380014" w:rsidP="00380014">
      <w:pPr>
        <w:pStyle w:val="Heading1"/>
      </w:pPr>
      <w:bookmarkStart w:id="13" w:name="O_1232670"/>
      <w:bookmarkEnd w:id="13"/>
      <w:r w:rsidRPr="00380014">
        <w:t>Knowledge Evidence</w:t>
      </w:r>
    </w:p>
    <w:tbl>
      <w:tblPr>
        <w:tblW w:w="9497" w:type="dxa"/>
        <w:tblLayout w:type="fixed"/>
        <w:tblCellMar>
          <w:left w:w="62" w:type="dxa"/>
          <w:right w:w="62" w:type="dxa"/>
        </w:tblCellMar>
        <w:tblLook w:val="0000"/>
      </w:tblPr>
      <w:tblGrid>
        <w:gridCol w:w="9497"/>
      </w:tblGrid>
      <w:tr w:rsidTr="00380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80014">
            <w:pPr>
              <w:pStyle w:val="BodyText"/>
              <w:rPr>
                <w:lang w:val="en-NZ"/>
              </w:rPr>
            </w:pPr>
            <w:r w:rsidRPr="00380014">
              <w:t>Evidence required to demonstrate competence in this unit must be relevant to and satisfy all of the requirements of the elements and performance criteria and include knowledge of:</w:t>
            </w:r>
          </w:p>
        </w:tc>
      </w:tr>
      <w:tr w:rsidTr="00380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014" w:rsidP="00380014">
            <w:pPr>
              <w:pStyle w:val="ListBullet"/>
            </w:pPr>
            <w:r w:rsidRPr="00380014">
              <w:t>familiarisation with transfer pricing on valuation</w:t>
            </w:r>
          </w:p>
          <w:p w:rsidR="00000000" w:rsidRPr="00380014" w:rsidP="00380014">
            <w:pPr>
              <w:pStyle w:val="ListBullet"/>
            </w:pPr>
            <w:r w:rsidRPr="00380014">
              <w:t>impact of related party</w:t>
            </w:r>
            <w:r w:rsidRPr="00380014">
              <w:t xml:space="preserve"> principles in determining transaction value method</w:t>
            </w:r>
          </w:p>
          <w:p w:rsidR="00000000" w:rsidRPr="00380014" w:rsidP="00380014">
            <w:pPr>
              <w:pStyle w:val="ListBullet"/>
            </w:pPr>
            <w:r w:rsidRPr="00380014">
              <w:t>interpreting:</w:t>
            </w:r>
          </w:p>
          <w:p w:rsidR="00000000" w:rsidRPr="00380014" w:rsidP="00380014">
            <w:pPr>
              <w:pStyle w:val="ListBullet2"/>
            </w:pPr>
            <w:r w:rsidRPr="00380014">
              <w:t>Case law and Administrative Appeals Tribunal (AAT) decisions relevant to valuation</w:t>
            </w:r>
          </w:p>
          <w:p w:rsidR="00000000" w:rsidRPr="00380014" w:rsidP="00380014">
            <w:pPr>
              <w:pStyle w:val="ListBullet2"/>
            </w:pPr>
            <w:r w:rsidRPr="00380014">
              <w:t>Customs Act as amended relevant to valuation</w:t>
            </w:r>
          </w:p>
          <w:p w:rsidR="00000000" w:rsidRPr="00380014" w:rsidP="00380014">
            <w:pPr>
              <w:pStyle w:val="ListBullet"/>
            </w:pPr>
            <w:r w:rsidRPr="00380014">
              <w:t xml:space="preserve">methods of valuation for private imports of cars and yachts </w:t>
            </w:r>
          </w:p>
          <w:p w:rsidR="00000000" w:rsidRPr="00380014" w:rsidP="00380014">
            <w:pPr>
              <w:pStyle w:val="ListBullet"/>
            </w:pPr>
            <w:r w:rsidRPr="00380014">
              <w:t xml:space="preserve">procedures for applying for advance rulings </w:t>
            </w:r>
          </w:p>
          <w:p w:rsidR="00000000" w:rsidRPr="00380014" w:rsidP="00380014">
            <w:pPr>
              <w:pStyle w:val="ListBullet"/>
            </w:pPr>
            <w:r w:rsidRPr="00380014">
              <w:t>procedures for determination of:</w:t>
            </w:r>
          </w:p>
          <w:p w:rsidR="00000000" w:rsidRPr="00380014" w:rsidP="00380014">
            <w:pPr>
              <w:pStyle w:val="ListBullet2"/>
            </w:pPr>
            <w:r w:rsidRPr="00380014">
              <w:t>adjusted price</w:t>
            </w:r>
          </w:p>
          <w:p w:rsidR="00000000" w:rsidRPr="00380014" w:rsidP="00380014">
            <w:pPr>
              <w:pStyle w:val="ListBullet2"/>
            </w:pPr>
            <w:r w:rsidRPr="00380014">
              <w:t>customs value</w:t>
            </w:r>
          </w:p>
          <w:p w:rsidR="00000000" w:rsidRPr="00380014" w:rsidP="00380014">
            <w:pPr>
              <w:pStyle w:val="ListBullet2"/>
            </w:pPr>
            <w:r w:rsidRPr="00380014">
              <w:t>import sales transaction</w:t>
            </w:r>
          </w:p>
          <w:p w:rsidR="00000000" w:rsidRPr="00380014" w:rsidP="00380014">
            <w:pPr>
              <w:pStyle w:val="ListBullet2"/>
            </w:pPr>
            <w:r w:rsidRPr="00380014">
              <w:t>price-related costs.</w:t>
            </w:r>
          </w:p>
        </w:tc>
      </w:tr>
    </w:tbl>
    <w:p w:rsidR="00167060" w:rsidP="00380014">
      <w:pPr>
        <w:pStyle w:val="NoPaddingFontSize1"/>
      </w:pPr>
    </w:p>
    <w:p w:rsidR="00167060" w:rsidP="00380014">
      <w:pPr>
        <w:pStyle w:val="NoPaddingFontSize1"/>
      </w:pPr>
    </w:p>
    <w:p w:rsidR="00000000" w:rsidRPr="00380014" w:rsidP="00380014">
      <w:pPr>
        <w:pStyle w:val="Heading1"/>
      </w:pPr>
      <w:bookmarkStart w:id="14" w:name="O_1232671"/>
      <w:bookmarkEnd w:id="14"/>
      <w:r w:rsidRPr="00380014">
        <w:t>Assessment Conditions</w:t>
      </w:r>
    </w:p>
    <w:tbl>
      <w:tblPr>
        <w:tblW w:w="9497" w:type="dxa"/>
        <w:tblLayout w:type="fixed"/>
        <w:tblCellMar>
          <w:left w:w="62" w:type="dxa"/>
          <w:right w:w="62" w:type="dxa"/>
        </w:tblCellMar>
        <w:tblLook w:val="0000"/>
      </w:tblPr>
      <w:tblGrid>
        <w:gridCol w:w="9497"/>
      </w:tblGrid>
      <w:tr w:rsidTr="00380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0014" w:rsidP="00380014">
            <w:pPr>
              <w:pStyle w:val="BodyText"/>
            </w:pPr>
            <w:r w:rsidRPr="00380014">
              <w:t xml:space="preserve">Assessors must hold credentials specified within the Standards for Registered Training Organisations current at the time of assessment. </w:t>
            </w:r>
          </w:p>
          <w:p w:rsidR="00000000" w:rsidRPr="00380014" w:rsidP="00380014">
            <w:pPr>
              <w:pStyle w:val="BodyText"/>
            </w:pPr>
            <w:r w:rsidRPr="00380014">
              <w:t>Assessment must satisfy the Principles of Assessment and Rules of Evidence and all regulatory requirements included wit</w:t>
            </w:r>
            <w:r w:rsidRPr="00380014">
              <w:t>hin the Standards for Registered Training Organisations current at the time of assessment.</w:t>
            </w:r>
          </w:p>
          <w:p w:rsidR="00000000" w:rsidRPr="00380014" w:rsidP="00380014">
            <w:pPr>
              <w:pStyle w:val="BodyText"/>
            </w:pPr>
            <w:r w:rsidRPr="00380014">
              <w:t>Assessment must occur in workplace operational situations where it is appropriate to do so; where this is not appropriate, assessment must occur in simulated workpla</w:t>
            </w:r>
            <w:r w:rsidRPr="00380014">
              <w:t>ce operational situations that replicate workplace conditions.</w:t>
            </w:r>
          </w:p>
          <w:p w:rsidR="00000000" w:rsidRPr="00380014" w:rsidP="00380014">
            <w:pPr>
              <w:pStyle w:val="BodyText"/>
            </w:pPr>
            <w:r w:rsidRPr="00380014">
              <w:t>Assessment processes and techniques must be appropriate to the language, literacy and numeracy requirements of the work being performed and the needs of the candidate.</w:t>
            </w:r>
          </w:p>
          <w:p w:rsidR="00000000" w:rsidRPr="00380014" w:rsidP="00380014">
            <w:pPr>
              <w:pStyle w:val="BodyText"/>
            </w:pPr>
            <w:r w:rsidRPr="00380014">
              <w:t xml:space="preserve">Resources for assessment </w:t>
            </w:r>
            <w:r w:rsidRPr="00380014">
              <w:t>must include access to:</w:t>
            </w:r>
          </w:p>
          <w:p w:rsidR="00000000" w:rsidRPr="00380014" w:rsidP="00380014">
            <w:pPr>
              <w:pStyle w:val="ListBullet"/>
            </w:pPr>
            <w:r w:rsidRPr="00380014">
              <w:t>a range of relevant exercises, case studies and/or simulations</w:t>
            </w:r>
          </w:p>
          <w:p w:rsidR="00000000" w:rsidRPr="00380014" w:rsidP="00380014">
            <w:pPr>
              <w:pStyle w:val="ListBullet"/>
            </w:pPr>
            <w:r w:rsidRPr="00380014">
              <w:t>applicable documentation including workplace procedures, regulations, codes of practice and operation manuals.</w:t>
            </w:r>
          </w:p>
        </w:tc>
      </w:tr>
    </w:tbl>
    <w:p w:rsidR="00000000" w:rsidRPr="00380014" w:rsidP="00380014">
      <w:pPr>
        <w:pStyle w:val="NoPaddingFontSize1"/>
      </w:pPr>
    </w:p>
    <w:p w:rsidR="00000000" w:rsidRPr="00380014" w:rsidP="00380014">
      <w:pPr>
        <w:pStyle w:val="AllowPageBreak"/>
      </w:pPr>
    </w:p>
    <w:p w:rsidR="00000000" w:rsidRPr="00380014" w:rsidP="00380014">
      <w:pPr>
        <w:pStyle w:val="Heading1"/>
      </w:pPr>
      <w:bookmarkStart w:id="15" w:name="O_1232674"/>
      <w:bookmarkEnd w:id="15"/>
      <w:r w:rsidRPr="00380014">
        <w:t>Links</w:t>
      </w:r>
    </w:p>
    <w:p w:rsidR="00000000" w:rsidRPr="00380014" w:rsidP="00167060">
      <w:pPr>
        <w:pStyle w:val="BodyText"/>
      </w:pPr>
      <w:r w:rsidRPr="0038001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E036E">
        <w:rPr>
          <w:rStyle w:val="Hyperlink"/>
        </w:rPr>
        <w:t>https://vetnet.gov.au/Pages/TrainingDocs.aspx?q=df441c6e-213d-43e3-874c-0b3f7036d851</w:t>
      </w:r>
      <w:r>
        <w:fldChar w:fldCharType="end"/>
      </w:r>
    </w:p>
    <w:p w:rsidR="00000000" w:rsidRPr="00380014" w:rsidP="00380014"/>
    <w:sectPr w:rsidSect="003800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14" w:rsidRPr="00167060" w:rsidP="001670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060" w:rsidP="003800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7060" w:rsidP="003800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67060" w:rsidP="003800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14" w:rsidP="00380014">
    <w:pPr>
      <w:pStyle w:val="Footer"/>
      <w:framePr w:wrap="around"/>
    </w:pPr>
    <w:r>
      <w:fldChar w:fldCharType="begin"/>
    </w:r>
    <w:r>
      <w:instrText xml:space="preserve"> DOCPROPERTY  Subject  \* MERGEFORMAT </w:instrText>
    </w:r>
    <w:r>
      <w:fldChar w:fldCharType="separate"/>
    </w:r>
    <w:r w:rsidR="00167060">
      <w:t>Approved</w:t>
    </w:r>
    <w:r w:rsidR="00167060">
      <w:fldChar w:fldCharType="end"/>
    </w:r>
    <w:r>
      <w:tab/>
      <w:t xml:space="preserve">Page </w:t>
    </w:r>
    <w:r>
      <w:fldChar w:fldCharType="begin"/>
    </w:r>
    <w:r>
      <w:instrText xml:space="preserve"> PAGE  \* Arabic  \* MERGEFORMAT </w:instrText>
    </w:r>
    <w:r>
      <w:fldChar w:fldCharType="separate"/>
    </w:r>
    <w:r w:rsidR="001670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7060">
      <w:rPr>
        <w:noProof/>
      </w:rPr>
      <w:t>4</w:t>
    </w:r>
    <w:r>
      <w:rPr>
        <w:noProof/>
      </w:rPr>
      <w:fldChar w:fldCharType="end"/>
    </w:r>
  </w:p>
  <w:p w:rsidR="00380014" w:rsidP="00380014">
    <w:pPr>
      <w:pStyle w:val="Footer"/>
      <w:framePr w:wrap="around"/>
    </w:pPr>
    <w:r>
      <w:t xml:space="preserve">© Commonwealth of Australia, </w:t>
    </w:r>
    <w:r>
      <w:fldChar w:fldCharType="begin"/>
    </w:r>
    <w:r>
      <w:instrText xml:space="preserve"> DATE  \@ "yyyy"  \* MERGEFORMAT </w:instrText>
    </w:r>
    <w:r>
      <w:fldChar w:fldCharType="separate"/>
    </w:r>
    <w:r w:rsidR="00167060">
      <w:rPr>
        <w:noProof/>
      </w:rPr>
      <w:t>2025</w:t>
    </w:r>
    <w:r>
      <w:fldChar w:fldCharType="end"/>
    </w:r>
    <w:r>
      <w:tab/>
    </w:r>
    <w:r>
      <w:fldChar w:fldCharType="begin"/>
    </w:r>
    <w:r>
      <w:instrText xml:space="preserve"> DOCPROPERTY  Author  \* MERGEFORMAT </w:instrText>
    </w:r>
    <w:r>
      <w:fldChar w:fldCharType="separate"/>
    </w:r>
    <w:r w:rsidR="00167060">
      <w:t>Industry Skills Australia</w:t>
    </w:r>
    <w:r w:rsidR="00167060">
      <w:fldChar w:fldCharType="end"/>
    </w:r>
  </w:p>
  <w:p w:rsidR="00380014" w:rsidP="003800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0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0014" w:rsidRPr="00167060" w:rsidP="001670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060" w:rsidRPr="002D2AF8" w:rsidP="00380014">
    <w:pPr>
      <w:pStyle w:val="Header"/>
      <w:framePr w:wrap="around"/>
    </w:pPr>
    <w:r>
      <w:fldChar w:fldCharType="begin"/>
    </w:r>
    <w:r>
      <w:instrText xml:space="preserve"> TITLE   \* MERGEFORMAT </w:instrText>
    </w:r>
    <w:r>
      <w:fldChar w:fldCharType="separate"/>
    </w:r>
    <w:r>
      <w:t>TLIX0040 Determine complex customs value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7060" w:rsidP="003800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14" w:rsidRPr="002D2AF8" w:rsidP="00380014">
    <w:pPr>
      <w:pStyle w:val="Header"/>
      <w:framePr w:wrap="around"/>
    </w:pPr>
    <w:r>
      <w:fldChar w:fldCharType="begin"/>
    </w:r>
    <w:r>
      <w:instrText xml:space="preserve"> TITLE   \* MERGEFORMAT </w:instrText>
    </w:r>
    <w:r>
      <w:fldChar w:fldCharType="separate"/>
    </w:r>
    <w:r w:rsidR="00167060">
      <w:t>TLIX0040 Determine complex customs value</w:t>
    </w:r>
    <w:r w:rsidR="00167060">
      <w:fldChar w:fldCharType="end"/>
    </w:r>
    <w:r>
      <w:tab/>
      <w:t xml:space="preserve">Date this document was generated: </w:t>
    </w:r>
    <w:r>
      <w:fldChar w:fldCharType="begin"/>
    </w:r>
    <w:r>
      <w:instrText xml:space="preserve"> CREATEDATE  \@ "d MMMM yyyy"  \* MERGEFORMAT </w:instrText>
    </w:r>
    <w:r>
      <w:fldChar w:fldCharType="separate"/>
    </w:r>
    <w:r w:rsidR="00167060">
      <w:rPr>
        <w:noProof/>
      </w:rPr>
      <w:t>2 March 2025</w:t>
    </w:r>
    <w:r>
      <w:fldChar w:fldCharType="end"/>
    </w:r>
  </w:p>
  <w:p w:rsidR="00380014" w:rsidP="003800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B2F1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10E3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00A2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0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014"/>
    <w:pPr>
      <w:spacing w:before="360" w:after="60"/>
      <w:outlineLvl w:val="0"/>
    </w:pPr>
    <w:rPr>
      <w:sz w:val="32"/>
    </w:rPr>
  </w:style>
  <w:style w:type="paragraph" w:styleId="Heading2">
    <w:name w:val="heading 2"/>
    <w:basedOn w:val="HeadingBase"/>
    <w:next w:val="BodyText"/>
    <w:link w:val="Heading2Char"/>
    <w:qFormat/>
    <w:rsid w:val="00380014"/>
    <w:pPr>
      <w:keepLines/>
      <w:spacing w:before="240" w:after="120"/>
      <w:outlineLvl w:val="1"/>
    </w:pPr>
    <w:rPr>
      <w:sz w:val="28"/>
      <w:szCs w:val="40"/>
    </w:rPr>
  </w:style>
  <w:style w:type="paragraph" w:styleId="Heading3">
    <w:name w:val="heading 3"/>
    <w:basedOn w:val="HeadingBase"/>
    <w:next w:val="BodyText"/>
    <w:link w:val="Heading3Char"/>
    <w:qFormat/>
    <w:rsid w:val="00380014"/>
    <w:pPr>
      <w:spacing w:before="180" w:after="120"/>
      <w:outlineLvl w:val="2"/>
    </w:pPr>
    <w:rPr>
      <w:spacing w:val="-10"/>
      <w:kern w:val="32"/>
    </w:rPr>
  </w:style>
  <w:style w:type="paragraph" w:styleId="Heading4">
    <w:name w:val="heading 4"/>
    <w:basedOn w:val="HeadingBase"/>
    <w:next w:val="BodyText"/>
    <w:link w:val="Heading4Char"/>
    <w:qFormat/>
    <w:rsid w:val="00380014"/>
    <w:pPr>
      <w:spacing w:before="160" w:after="120"/>
      <w:outlineLvl w:val="3"/>
    </w:pPr>
    <w:rPr>
      <w:sz w:val="22"/>
    </w:rPr>
  </w:style>
  <w:style w:type="paragraph" w:styleId="Heading5">
    <w:name w:val="heading 5"/>
    <w:basedOn w:val="HeadingBase"/>
    <w:next w:val="Normal"/>
    <w:link w:val="Heading5Char"/>
    <w:qFormat/>
    <w:rsid w:val="00380014"/>
    <w:pPr>
      <w:spacing w:before="80"/>
      <w:outlineLvl w:val="4"/>
    </w:pPr>
    <w:rPr>
      <w:color w:val="918585"/>
      <w:sz w:val="20"/>
    </w:rPr>
  </w:style>
  <w:style w:type="paragraph" w:styleId="Heading6">
    <w:name w:val="heading 6"/>
    <w:basedOn w:val="HeadingBase"/>
    <w:next w:val="Normal"/>
    <w:link w:val="Heading6Char"/>
    <w:qFormat/>
    <w:rsid w:val="00380014"/>
    <w:pPr>
      <w:spacing w:before="60"/>
      <w:outlineLvl w:val="5"/>
    </w:pPr>
    <w:rPr>
      <w:color w:val="918585"/>
      <w:sz w:val="20"/>
    </w:rPr>
  </w:style>
  <w:style w:type="paragraph" w:styleId="Heading7">
    <w:name w:val="heading 7"/>
    <w:basedOn w:val="Normal"/>
    <w:next w:val="Normal"/>
    <w:link w:val="Heading7Char"/>
    <w:qFormat/>
    <w:rsid w:val="00380014"/>
    <w:pPr>
      <w:ind w:left="720"/>
      <w:outlineLvl w:val="6"/>
    </w:pPr>
    <w:rPr>
      <w:i/>
    </w:rPr>
  </w:style>
  <w:style w:type="paragraph" w:styleId="Heading8">
    <w:name w:val="heading 8"/>
    <w:basedOn w:val="Normal"/>
    <w:next w:val="Normal"/>
    <w:link w:val="Heading8Char"/>
    <w:qFormat/>
    <w:rsid w:val="00380014"/>
    <w:pPr>
      <w:ind w:left="720"/>
      <w:outlineLvl w:val="7"/>
    </w:pPr>
    <w:rPr>
      <w:i/>
    </w:rPr>
  </w:style>
  <w:style w:type="paragraph" w:styleId="Heading9">
    <w:name w:val="heading 9"/>
    <w:basedOn w:val="Normal"/>
    <w:next w:val="Normal"/>
    <w:link w:val="Heading9Char"/>
    <w:qFormat/>
    <w:rsid w:val="00380014"/>
    <w:pPr>
      <w:ind w:left="720"/>
      <w:outlineLvl w:val="8"/>
    </w:pPr>
    <w:rPr>
      <w:i/>
    </w:rPr>
  </w:style>
  <w:style w:type="character" w:default="1" w:styleId="DefaultParagraphFont">
    <w:name w:val="Default Paragraph Font"/>
    <w:uiPriority w:val="1"/>
    <w:unhideWhenUsed/>
    <w:rsid w:val="003800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014"/>
  </w:style>
  <w:style w:type="character" w:customStyle="1" w:styleId="Heading1Char">
    <w:name w:val="Heading 1 Char"/>
    <w:basedOn w:val="DefaultParagraphFont"/>
    <w:link w:val="Heading1"/>
    <w:rsid w:val="00380014"/>
    <w:rPr>
      <w:rFonts w:ascii="Times New Roman" w:eastAsia="Times New Roman" w:hAnsi="Times New Roman" w:cs="Times New Roman"/>
      <w:b/>
      <w:sz w:val="32"/>
      <w:szCs w:val="20"/>
      <w:lang w:eastAsia="en-US"/>
    </w:rPr>
  </w:style>
  <w:style w:type="paragraph" w:styleId="BodyText">
    <w:name w:val="Body Text"/>
    <w:basedOn w:val="Normal"/>
    <w:link w:val="BodyTextChar"/>
    <w:rsid w:val="003800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0014"/>
    <w:rPr>
      <w:rFonts w:ascii="Times New Roman" w:eastAsia="Times New Roman" w:hAnsi="Times New Roman" w:cs="Times New Roman"/>
      <w:sz w:val="24"/>
      <w:lang w:eastAsia="en-US"/>
    </w:rPr>
  </w:style>
  <w:style w:type="paragraph" w:styleId="ListBullet">
    <w:name w:val="List Bullet"/>
    <w:basedOn w:val="List"/>
    <w:rsid w:val="00380014"/>
    <w:pPr>
      <w:numPr>
        <w:numId w:val="12"/>
      </w:numPr>
      <w:tabs>
        <w:tab w:val="clear" w:pos="340"/>
      </w:tabs>
      <w:spacing w:before="40" w:after="40"/>
    </w:pPr>
  </w:style>
  <w:style w:type="character" w:customStyle="1" w:styleId="SpecialBold">
    <w:name w:val="Special Bold"/>
    <w:basedOn w:val="DefaultParagraphFont"/>
    <w:rsid w:val="00380014"/>
    <w:rPr>
      <w:b/>
      <w:spacing w:val="0"/>
    </w:rPr>
  </w:style>
  <w:style w:type="paragraph" w:styleId="ListBullet2">
    <w:name w:val="List Bullet 2"/>
    <w:basedOn w:val="List2"/>
    <w:rsid w:val="00380014"/>
    <w:pPr>
      <w:numPr>
        <w:numId w:val="13"/>
      </w:numPr>
      <w:tabs>
        <w:tab w:val="clear" w:pos="680"/>
      </w:tabs>
    </w:pPr>
  </w:style>
  <w:style w:type="paragraph" w:customStyle="1" w:styleId="SuperHeading">
    <w:name w:val="SuperHeading"/>
    <w:basedOn w:val="Normal"/>
    <w:rsid w:val="00380014"/>
    <w:pPr>
      <w:spacing w:before="240" w:after="120"/>
      <w:outlineLvl w:val="0"/>
    </w:pPr>
    <w:rPr>
      <w:rFonts w:ascii="Times New Roman" w:hAnsi="Times New Roman"/>
      <w:b/>
      <w:sz w:val="32"/>
    </w:rPr>
  </w:style>
  <w:style w:type="paragraph" w:customStyle="1" w:styleId="AllowPageBreak">
    <w:name w:val="AllowPageBreak"/>
    <w:rsid w:val="003800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800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0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0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0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0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0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0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014"/>
    <w:rPr>
      <w:rFonts w:ascii="Courier New" w:eastAsia="Times New Roman" w:hAnsi="Courier New" w:cs="Times New Roman"/>
      <w:i/>
      <w:szCs w:val="20"/>
      <w:lang w:eastAsia="en-US"/>
    </w:rPr>
  </w:style>
  <w:style w:type="paragraph" w:customStyle="1" w:styleId="HeadingBase">
    <w:name w:val="Heading Base"/>
    <w:rsid w:val="003800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014"/>
    <w:pPr>
      <w:tabs>
        <w:tab w:val="right" w:leader="dot" w:pos="9072"/>
      </w:tabs>
      <w:ind w:left="567"/>
    </w:pPr>
    <w:rPr>
      <w:szCs w:val="22"/>
    </w:rPr>
  </w:style>
  <w:style w:type="paragraph" w:customStyle="1" w:styleId="TOCBase">
    <w:name w:val="TOC Base"/>
    <w:rsid w:val="003800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014"/>
    <w:pPr>
      <w:tabs>
        <w:tab w:val="right" w:leader="dot" w:pos="9072"/>
      </w:tabs>
      <w:spacing w:before="40" w:after="40"/>
      <w:ind w:left="284"/>
    </w:pPr>
    <w:rPr>
      <w:rFonts w:ascii="Times New Roman" w:hAnsi="Times New Roman"/>
    </w:rPr>
  </w:style>
  <w:style w:type="paragraph" w:styleId="TOC1">
    <w:name w:val="toc 1"/>
    <w:basedOn w:val="TOCBase"/>
    <w:next w:val="Normal"/>
    <w:rsid w:val="003800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00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014"/>
    <w:rPr>
      <w:rFonts w:ascii="Times New Roman" w:eastAsia="Times New Roman" w:hAnsi="Times New Roman" w:cs="Times New Roman"/>
      <w:sz w:val="16"/>
      <w:lang w:eastAsia="en-US"/>
    </w:rPr>
  </w:style>
  <w:style w:type="paragraph" w:styleId="Title">
    <w:name w:val="Title"/>
    <w:basedOn w:val="HeadingBase"/>
    <w:link w:val="TitleChar"/>
    <w:qFormat/>
    <w:rsid w:val="00380014"/>
    <w:pPr>
      <w:spacing w:before="5040"/>
      <w:jc w:val="center"/>
    </w:pPr>
    <w:rPr>
      <w:sz w:val="48"/>
      <w:szCs w:val="72"/>
      <w:lang w:val="en-US"/>
    </w:rPr>
  </w:style>
  <w:style w:type="character" w:customStyle="1" w:styleId="TitleChar">
    <w:name w:val="Title Char"/>
    <w:basedOn w:val="DefaultParagraphFont"/>
    <w:link w:val="Title"/>
    <w:rsid w:val="003800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014"/>
    <w:pPr>
      <w:tabs>
        <w:tab w:val="left" w:pos="3600"/>
        <w:tab w:val="left" w:pos="3958"/>
      </w:tabs>
    </w:pPr>
  </w:style>
  <w:style w:type="paragraph" w:styleId="List">
    <w:name w:val="List"/>
    <w:basedOn w:val="BodyText"/>
    <w:next w:val="BodyText"/>
    <w:rsid w:val="00380014"/>
    <w:pPr>
      <w:tabs>
        <w:tab w:val="left" w:pos="340"/>
      </w:tabs>
      <w:spacing w:before="60" w:after="60"/>
      <w:ind w:left="340" w:hanging="340"/>
    </w:pPr>
  </w:style>
  <w:style w:type="paragraph" w:customStyle="1" w:styleId="Note">
    <w:name w:val="Note"/>
    <w:basedOn w:val="BodyText"/>
    <w:rsid w:val="003800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014"/>
    <w:pPr>
      <w:framePr w:wrap="auto" w:hAnchor="text" w:y="6049"/>
    </w:pPr>
    <w:rPr>
      <w:color w:val="000000"/>
      <w:sz w:val="40"/>
    </w:rPr>
  </w:style>
  <w:style w:type="paragraph" w:customStyle="1" w:styleId="TOCTitle">
    <w:name w:val="TOCTitle"/>
    <w:basedOn w:val="Heading1"/>
    <w:rsid w:val="00380014"/>
    <w:pPr>
      <w:spacing w:after="240"/>
      <w:jc w:val="center"/>
      <w:outlineLvl w:val="9"/>
    </w:pPr>
    <w:rPr>
      <w:caps/>
    </w:rPr>
  </w:style>
  <w:style w:type="paragraph" w:customStyle="1" w:styleId="Version">
    <w:name w:val="Version"/>
    <w:rsid w:val="003800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0014"/>
    <w:pPr>
      <w:keepNext w:val="0"/>
      <w:tabs>
        <w:tab w:val="right" w:pos="4176"/>
      </w:tabs>
      <w:ind w:left="198" w:hanging="198"/>
    </w:pPr>
    <w:rPr>
      <w:rFonts w:ascii="Garamond" w:hAnsi="Garamond"/>
    </w:rPr>
  </w:style>
  <w:style w:type="paragraph" w:styleId="IndexHeading">
    <w:name w:val="index heading"/>
    <w:basedOn w:val="Normal"/>
    <w:next w:val="Index1"/>
    <w:semiHidden/>
    <w:rsid w:val="00380014"/>
    <w:pPr>
      <w:spacing w:before="120" w:after="120"/>
    </w:pPr>
    <w:rPr>
      <w:rFonts w:ascii="Arial" w:hAnsi="Arial"/>
      <w:b/>
      <w:color w:val="918585"/>
      <w:sz w:val="24"/>
    </w:rPr>
  </w:style>
  <w:style w:type="paragraph" w:styleId="Header">
    <w:name w:val="header"/>
    <w:basedOn w:val="Normal"/>
    <w:link w:val="HeaderChar"/>
    <w:rsid w:val="003800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014"/>
    <w:rPr>
      <w:rFonts w:ascii="Times New Roman" w:eastAsia="Times New Roman" w:hAnsi="Times New Roman" w:cs="Times New Roman"/>
      <w:sz w:val="16"/>
      <w:szCs w:val="20"/>
      <w:lang w:val="en-GB" w:eastAsia="en-US"/>
    </w:rPr>
  </w:style>
  <w:style w:type="paragraph" w:customStyle="1" w:styleId="Chapter">
    <w:name w:val="Chapter"/>
    <w:basedOn w:val="Normal"/>
    <w:rsid w:val="00380014"/>
    <w:pPr>
      <w:spacing w:before="240"/>
    </w:pPr>
    <w:rPr>
      <w:rFonts w:ascii="Times New Roman" w:hAnsi="Times New Roman"/>
      <w:smallCaps/>
      <w:spacing w:val="80"/>
      <w:sz w:val="28"/>
    </w:rPr>
  </w:style>
  <w:style w:type="paragraph" w:customStyle="1" w:styleId="InChapter">
    <w:name w:val="InChapter"/>
    <w:basedOn w:val="Heading3"/>
    <w:rsid w:val="00380014"/>
    <w:pPr>
      <w:spacing w:after="240"/>
      <w:outlineLvl w:val="9"/>
    </w:pPr>
    <w:rPr>
      <w:noProof/>
    </w:rPr>
  </w:style>
  <w:style w:type="paragraph" w:styleId="Index2">
    <w:name w:val="index 2"/>
    <w:basedOn w:val="Normal"/>
    <w:next w:val="Normal"/>
    <w:semiHidden/>
    <w:rsid w:val="00380014"/>
    <w:pPr>
      <w:tabs>
        <w:tab w:val="right" w:pos="4176"/>
      </w:tabs>
      <w:ind w:left="568" w:hanging="284"/>
    </w:pPr>
    <w:rPr>
      <w:rFonts w:ascii="Garamond" w:hAnsi="Garamond"/>
    </w:rPr>
  </w:style>
  <w:style w:type="paragraph" w:customStyle="1" w:styleId="Byline">
    <w:name w:val="Byline"/>
    <w:rsid w:val="003800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014"/>
    <w:pPr>
      <w:tabs>
        <w:tab w:val="clear" w:pos="3600"/>
        <w:tab w:val="clear" w:pos="3958"/>
      </w:tabs>
      <w:jc w:val="right"/>
    </w:pPr>
  </w:style>
  <w:style w:type="character" w:styleId="Emphasis">
    <w:name w:val="Emphasis"/>
    <w:basedOn w:val="DefaultParagraphFont"/>
    <w:qFormat/>
    <w:rsid w:val="00380014"/>
    <w:rPr>
      <w:i/>
    </w:rPr>
  </w:style>
  <w:style w:type="paragraph" w:styleId="Caption">
    <w:name w:val="caption"/>
    <w:basedOn w:val="BodyText"/>
    <w:next w:val="Normal"/>
    <w:qFormat/>
    <w:rsid w:val="00380014"/>
    <w:pPr>
      <w:framePr w:w="2268" w:hSpace="181" w:vSpace="181" w:wrap="around" w:vAnchor="text" w:hAnchor="page" w:x="1135" w:y="285" w:anchorLock="1"/>
    </w:pPr>
    <w:rPr>
      <w:i/>
    </w:rPr>
  </w:style>
  <w:style w:type="paragraph" w:customStyle="1" w:styleId="MiniTOCTitle">
    <w:name w:val="MiniTOCTitle"/>
    <w:basedOn w:val="Heading4"/>
    <w:rsid w:val="00380014"/>
    <w:pPr>
      <w:spacing w:before="240"/>
      <w:outlineLvl w:val="9"/>
    </w:pPr>
    <w:rPr>
      <w:noProof/>
      <w:sz w:val="24"/>
    </w:rPr>
  </w:style>
  <w:style w:type="paragraph" w:customStyle="1" w:styleId="MiniTOCItem">
    <w:name w:val="MiniTOCItem"/>
    <w:basedOn w:val="ListBullet"/>
    <w:rsid w:val="00380014"/>
    <w:pPr>
      <w:numPr>
        <w:numId w:val="0"/>
      </w:numPr>
      <w:tabs>
        <w:tab w:val="right" w:leader="dot" w:pos="6521"/>
      </w:tabs>
      <w:spacing w:before="0" w:after="0"/>
    </w:pPr>
  </w:style>
  <w:style w:type="paragraph" w:customStyle="1" w:styleId="TOFTitle">
    <w:name w:val="TOFTitle"/>
    <w:basedOn w:val="TOCTitle"/>
    <w:rsid w:val="00380014"/>
  </w:style>
  <w:style w:type="paragraph" w:styleId="TableofFigures">
    <w:name w:val="table of figures"/>
    <w:basedOn w:val="Normal"/>
    <w:next w:val="Normal"/>
    <w:semiHidden/>
    <w:rsid w:val="00380014"/>
    <w:pPr>
      <w:tabs>
        <w:tab w:val="right" w:leader="dot" w:pos="9072"/>
      </w:tabs>
      <w:ind w:left="970" w:hanging="403"/>
    </w:pPr>
    <w:rPr>
      <w:rFonts w:ascii="Times New Roman" w:hAnsi="Times New Roman"/>
      <w:b/>
    </w:rPr>
  </w:style>
  <w:style w:type="paragraph" w:styleId="ListNumber">
    <w:name w:val="List Number"/>
    <w:basedOn w:val="List"/>
    <w:rsid w:val="00380014"/>
    <w:pPr>
      <w:numPr>
        <w:numId w:val="15"/>
      </w:numPr>
      <w:tabs>
        <w:tab w:val="clear" w:pos="340"/>
      </w:tabs>
    </w:pPr>
  </w:style>
  <w:style w:type="character" w:customStyle="1" w:styleId="WingdingSymbols">
    <w:name w:val="Wingding Symbols"/>
    <w:rsid w:val="00380014"/>
    <w:rPr>
      <w:rFonts w:ascii="Wingdings" w:hAnsi="Wingdings"/>
    </w:rPr>
  </w:style>
  <w:style w:type="paragraph" w:customStyle="1" w:styleId="TableHeading">
    <w:name w:val="Table Heading"/>
    <w:basedOn w:val="HeadingBase"/>
    <w:rsid w:val="00380014"/>
    <w:pPr>
      <w:keepLines/>
      <w:pBdr>
        <w:bottom w:val="single" w:sz="6" w:space="1" w:color="918585"/>
      </w:pBdr>
      <w:spacing w:before="240"/>
    </w:pPr>
  </w:style>
  <w:style w:type="character" w:customStyle="1" w:styleId="HotSpot">
    <w:name w:val="HotSpot"/>
    <w:rsid w:val="00380014"/>
    <w:rPr>
      <w:color w:val="0033CC"/>
      <w:u w:val="none"/>
    </w:rPr>
  </w:style>
  <w:style w:type="paragraph" w:customStyle="1" w:styleId="BodyTextRight">
    <w:name w:val="Body Text Right"/>
    <w:basedOn w:val="BodyText"/>
    <w:rsid w:val="00380014"/>
    <w:pPr>
      <w:spacing w:before="0" w:after="0"/>
      <w:jc w:val="right"/>
    </w:pPr>
  </w:style>
  <w:style w:type="paragraph" w:styleId="Index3">
    <w:name w:val="index 3"/>
    <w:basedOn w:val="ListNumber2"/>
    <w:next w:val="Normal"/>
    <w:semiHidden/>
    <w:rsid w:val="00380014"/>
    <w:pPr>
      <w:numPr>
        <w:numId w:val="0"/>
      </w:numPr>
      <w:tabs>
        <w:tab w:val="right" w:leader="dot" w:pos="4176"/>
      </w:tabs>
    </w:pPr>
  </w:style>
  <w:style w:type="paragraph" w:styleId="ListNumber2">
    <w:name w:val="List Number 2"/>
    <w:basedOn w:val="List2"/>
    <w:rsid w:val="00380014"/>
    <w:pPr>
      <w:numPr>
        <w:numId w:val="10"/>
      </w:numPr>
      <w:tabs>
        <w:tab w:val="clear" w:pos="1060"/>
      </w:tabs>
    </w:pPr>
  </w:style>
  <w:style w:type="paragraph" w:customStyle="1" w:styleId="MarginNote">
    <w:name w:val="Margin Note"/>
    <w:basedOn w:val="BodyText"/>
    <w:rsid w:val="003800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0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0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014"/>
    <w:rPr>
      <w:sz w:val="32"/>
    </w:rPr>
  </w:style>
  <w:style w:type="paragraph" w:customStyle="1" w:styleId="HeadingProcedure">
    <w:name w:val="Heading Procedure"/>
    <w:basedOn w:val="HeadingBase"/>
    <w:next w:val="Normal"/>
    <w:rsid w:val="00380014"/>
    <w:pPr>
      <w:tabs>
        <w:tab w:val="left" w:pos="0"/>
      </w:tabs>
      <w:spacing w:before="120" w:after="60"/>
    </w:pPr>
    <w:rPr>
      <w:i/>
      <w:color w:val="918585"/>
      <w:sz w:val="22"/>
    </w:rPr>
  </w:style>
  <w:style w:type="paragraph" w:customStyle="1" w:styleId="TableBodyText">
    <w:name w:val="Table Body Text"/>
    <w:basedOn w:val="BodyText"/>
    <w:rsid w:val="00380014"/>
    <w:pPr>
      <w:spacing w:before="60" w:after="60"/>
    </w:pPr>
  </w:style>
  <w:style w:type="paragraph" w:styleId="ListContinue">
    <w:name w:val="List Continue"/>
    <w:basedOn w:val="List"/>
    <w:rsid w:val="00380014"/>
    <w:pPr>
      <w:ind w:firstLine="0"/>
    </w:pPr>
  </w:style>
  <w:style w:type="paragraph" w:customStyle="1" w:styleId="ListNote">
    <w:name w:val="List Note"/>
    <w:basedOn w:val="List"/>
    <w:rsid w:val="00380014"/>
    <w:pPr>
      <w:pBdr>
        <w:top w:val="single" w:sz="6" w:space="2" w:color="918585"/>
        <w:bottom w:val="single" w:sz="6" w:space="2" w:color="918585"/>
      </w:pBdr>
      <w:tabs>
        <w:tab w:val="left" w:pos="1021"/>
      </w:tabs>
      <w:ind w:firstLine="0"/>
    </w:pPr>
  </w:style>
  <w:style w:type="paragraph" w:customStyle="1" w:styleId="Warning">
    <w:name w:val="Warning"/>
    <w:basedOn w:val="BodyText"/>
    <w:rsid w:val="00380014"/>
    <w:pPr>
      <w:shd w:val="clear" w:color="auto" w:fill="D9D9D9"/>
      <w:tabs>
        <w:tab w:val="left" w:pos="992"/>
      </w:tabs>
      <w:ind w:left="119" w:right="119"/>
    </w:pPr>
    <w:rPr>
      <w:sz w:val="20"/>
    </w:rPr>
  </w:style>
  <w:style w:type="paragraph" w:customStyle="1" w:styleId="MarginIcons">
    <w:name w:val="Margin Icons"/>
    <w:basedOn w:val="BodyText"/>
    <w:rsid w:val="003800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014"/>
    <w:rPr>
      <w:rFonts w:ascii="Courier New" w:hAnsi="Courier New"/>
    </w:rPr>
  </w:style>
  <w:style w:type="paragraph" w:customStyle="1" w:styleId="NoteBullet">
    <w:name w:val="Note Bullet"/>
    <w:basedOn w:val="Note"/>
    <w:rsid w:val="00380014"/>
    <w:pPr>
      <w:tabs>
        <w:tab w:val="clear" w:pos="680"/>
      </w:tabs>
      <w:spacing w:before="60" w:after="60"/>
    </w:pPr>
  </w:style>
  <w:style w:type="paragraph" w:customStyle="1" w:styleId="SubHeading2">
    <w:name w:val="SubHeading2"/>
    <w:basedOn w:val="HeadingBase"/>
    <w:rsid w:val="00380014"/>
    <w:pPr>
      <w:spacing w:before="240" w:after="60"/>
    </w:pPr>
    <w:rPr>
      <w:sz w:val="20"/>
    </w:rPr>
  </w:style>
  <w:style w:type="paragraph" w:customStyle="1" w:styleId="SubHeading1">
    <w:name w:val="SubHeading1"/>
    <w:basedOn w:val="HeadingBase"/>
    <w:rsid w:val="00380014"/>
    <w:pPr>
      <w:spacing w:before="240" w:after="60"/>
    </w:pPr>
    <w:rPr>
      <w:color w:val="918585"/>
      <w:sz w:val="22"/>
    </w:rPr>
  </w:style>
  <w:style w:type="paragraph" w:customStyle="1" w:styleId="SideHeading">
    <w:name w:val="Side Heading"/>
    <w:basedOn w:val="HeadingBase"/>
    <w:rsid w:val="003800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014"/>
    <w:pPr>
      <w:tabs>
        <w:tab w:val="num" w:pos="360"/>
      </w:tabs>
    </w:pPr>
  </w:style>
  <w:style w:type="paragraph" w:styleId="PlainText">
    <w:name w:val="Plain Text"/>
    <w:basedOn w:val="Normal"/>
    <w:link w:val="PlainTextChar"/>
    <w:rsid w:val="00380014"/>
    <w:rPr>
      <w:sz w:val="20"/>
    </w:rPr>
  </w:style>
  <w:style w:type="character" w:customStyle="1" w:styleId="PlainTextChar">
    <w:name w:val="Plain Text Char"/>
    <w:basedOn w:val="DefaultParagraphFont"/>
    <w:link w:val="PlainText"/>
    <w:rsid w:val="00380014"/>
    <w:rPr>
      <w:rFonts w:ascii="Courier New" w:eastAsia="Times New Roman" w:hAnsi="Courier New" w:cs="Times New Roman"/>
      <w:sz w:val="20"/>
      <w:szCs w:val="20"/>
      <w:lang w:eastAsia="en-US"/>
    </w:rPr>
  </w:style>
  <w:style w:type="character" w:customStyle="1" w:styleId="MenuOption">
    <w:name w:val="Menu Option"/>
    <w:basedOn w:val="DefaultParagraphFont"/>
    <w:rsid w:val="00380014"/>
    <w:rPr>
      <w:b/>
      <w:smallCaps/>
    </w:rPr>
  </w:style>
  <w:style w:type="paragraph" w:customStyle="1" w:styleId="TableListNumber">
    <w:name w:val="Table List Number"/>
    <w:basedOn w:val="ListNumber"/>
    <w:rsid w:val="00380014"/>
    <w:pPr>
      <w:numPr>
        <w:numId w:val="0"/>
      </w:numPr>
    </w:pPr>
  </w:style>
  <w:style w:type="paragraph" w:styleId="TOC4">
    <w:name w:val="toc 4"/>
    <w:basedOn w:val="TOCBase"/>
    <w:next w:val="Normal"/>
    <w:semiHidden/>
    <w:rsid w:val="00380014"/>
    <w:pPr>
      <w:tabs>
        <w:tab w:val="right" w:leader="dot" w:pos="9071"/>
      </w:tabs>
      <w:ind w:left="1701"/>
    </w:pPr>
  </w:style>
  <w:style w:type="paragraph" w:customStyle="1" w:styleId="ListAlpha">
    <w:name w:val="List Alpha"/>
    <w:basedOn w:val="List"/>
    <w:rsid w:val="00380014"/>
    <w:pPr>
      <w:numPr>
        <w:numId w:val="9"/>
      </w:numPr>
    </w:pPr>
  </w:style>
  <w:style w:type="paragraph" w:customStyle="1" w:styleId="ListAlpha2">
    <w:name w:val="List Alpha 2"/>
    <w:basedOn w:val="List2"/>
    <w:rsid w:val="00380014"/>
    <w:pPr>
      <w:numPr>
        <w:numId w:val="8"/>
      </w:numPr>
    </w:pPr>
  </w:style>
  <w:style w:type="paragraph" w:styleId="List2">
    <w:name w:val="List 2"/>
    <w:basedOn w:val="BodyText"/>
    <w:rsid w:val="00380014"/>
    <w:pPr>
      <w:tabs>
        <w:tab w:val="left" w:pos="680"/>
      </w:tabs>
      <w:spacing w:before="60" w:after="60"/>
      <w:ind w:left="680" w:hanging="340"/>
    </w:pPr>
  </w:style>
  <w:style w:type="paragraph" w:styleId="List3">
    <w:name w:val="List 3"/>
    <w:basedOn w:val="BodyText"/>
    <w:rsid w:val="00380014"/>
    <w:pPr>
      <w:tabs>
        <w:tab w:val="left" w:pos="1021"/>
      </w:tabs>
      <w:spacing w:before="60" w:after="60"/>
      <w:ind w:left="1020" w:hanging="340"/>
    </w:pPr>
  </w:style>
  <w:style w:type="paragraph" w:styleId="List4">
    <w:name w:val="List 4"/>
    <w:basedOn w:val="BodyText"/>
    <w:rsid w:val="00380014"/>
    <w:pPr>
      <w:tabs>
        <w:tab w:val="left" w:pos="1361"/>
      </w:tabs>
      <w:spacing w:before="60" w:after="60"/>
      <w:ind w:left="1361" w:hanging="340"/>
    </w:pPr>
  </w:style>
  <w:style w:type="paragraph" w:styleId="List5">
    <w:name w:val="List 5"/>
    <w:basedOn w:val="BodyText"/>
    <w:rsid w:val="00380014"/>
    <w:pPr>
      <w:tabs>
        <w:tab w:val="left" w:pos="1701"/>
      </w:tabs>
      <w:spacing w:before="60" w:after="60"/>
      <w:ind w:left="1701" w:hanging="340"/>
    </w:pPr>
  </w:style>
  <w:style w:type="paragraph" w:styleId="ListBullet3">
    <w:name w:val="List Bullet 3"/>
    <w:basedOn w:val="List3"/>
    <w:rsid w:val="00380014"/>
    <w:pPr>
      <w:numPr>
        <w:numId w:val="14"/>
      </w:numPr>
      <w:tabs>
        <w:tab w:val="clear" w:pos="1021"/>
      </w:tabs>
      <w:ind w:left="1037" w:hanging="357"/>
    </w:pPr>
  </w:style>
  <w:style w:type="paragraph" w:styleId="ListBullet4">
    <w:name w:val="List Bullet 4"/>
    <w:basedOn w:val="List4"/>
    <w:rsid w:val="00380014"/>
    <w:pPr>
      <w:numPr>
        <w:numId w:val="3"/>
      </w:numPr>
      <w:tabs>
        <w:tab w:val="clear" w:pos="1361"/>
      </w:tabs>
    </w:pPr>
  </w:style>
  <w:style w:type="paragraph" w:styleId="ListBullet5">
    <w:name w:val="List Bullet 5"/>
    <w:basedOn w:val="List5"/>
    <w:rsid w:val="00380014"/>
    <w:pPr>
      <w:numPr>
        <w:numId w:val="4"/>
      </w:numPr>
    </w:pPr>
  </w:style>
  <w:style w:type="paragraph" w:styleId="ListContinue2">
    <w:name w:val="List Continue 2"/>
    <w:basedOn w:val="List2"/>
    <w:rsid w:val="00380014"/>
    <w:pPr>
      <w:ind w:firstLine="0"/>
    </w:pPr>
  </w:style>
  <w:style w:type="paragraph" w:styleId="ListContinue3">
    <w:name w:val="List Continue 3"/>
    <w:basedOn w:val="List3"/>
    <w:rsid w:val="00380014"/>
    <w:pPr>
      <w:ind w:left="1021" w:firstLine="0"/>
    </w:pPr>
  </w:style>
  <w:style w:type="paragraph" w:styleId="ListContinue4">
    <w:name w:val="List Continue 4"/>
    <w:basedOn w:val="List4"/>
    <w:rsid w:val="00380014"/>
    <w:pPr>
      <w:ind w:firstLine="0"/>
    </w:pPr>
  </w:style>
  <w:style w:type="paragraph" w:styleId="ListContinue5">
    <w:name w:val="List Continue 5"/>
    <w:basedOn w:val="List5"/>
    <w:rsid w:val="00380014"/>
    <w:pPr>
      <w:ind w:firstLine="0"/>
    </w:pPr>
  </w:style>
  <w:style w:type="paragraph" w:styleId="ListNumber3">
    <w:name w:val="List Number 3"/>
    <w:basedOn w:val="List3"/>
    <w:rsid w:val="00380014"/>
    <w:pPr>
      <w:numPr>
        <w:numId w:val="5"/>
      </w:numPr>
    </w:pPr>
  </w:style>
  <w:style w:type="paragraph" w:styleId="ListNumber4">
    <w:name w:val="List Number 4"/>
    <w:basedOn w:val="List4"/>
    <w:rsid w:val="00380014"/>
    <w:pPr>
      <w:numPr>
        <w:numId w:val="6"/>
      </w:numPr>
    </w:pPr>
  </w:style>
  <w:style w:type="paragraph" w:styleId="ListNumber5">
    <w:name w:val="List Number 5"/>
    <w:basedOn w:val="List5"/>
    <w:rsid w:val="00380014"/>
    <w:pPr>
      <w:numPr>
        <w:numId w:val="7"/>
      </w:numPr>
    </w:pPr>
  </w:style>
  <w:style w:type="paragraph" w:styleId="BlockText">
    <w:name w:val="Block Text"/>
    <w:basedOn w:val="Normal"/>
    <w:rsid w:val="00380014"/>
    <w:pPr>
      <w:spacing w:after="120"/>
      <w:ind w:left="1440" w:right="1440"/>
    </w:pPr>
  </w:style>
  <w:style w:type="character" w:customStyle="1" w:styleId="Subscript">
    <w:name w:val="Subscript"/>
    <w:basedOn w:val="DefaultParagraphFont"/>
    <w:rsid w:val="00380014"/>
    <w:rPr>
      <w:sz w:val="16"/>
      <w:vertAlign w:val="subscript"/>
    </w:rPr>
  </w:style>
  <w:style w:type="character" w:customStyle="1" w:styleId="Superscript">
    <w:name w:val="Superscript"/>
    <w:basedOn w:val="DefaultParagraphFont"/>
    <w:rsid w:val="00380014"/>
    <w:rPr>
      <w:sz w:val="16"/>
      <w:vertAlign w:val="superscript"/>
    </w:rPr>
  </w:style>
  <w:style w:type="character" w:customStyle="1" w:styleId="Symbols">
    <w:name w:val="Symbols"/>
    <w:basedOn w:val="DefaultParagraphFont"/>
    <w:rsid w:val="00380014"/>
    <w:rPr>
      <w:rFonts w:ascii="Symbol" w:hAnsi="Symbol"/>
    </w:rPr>
  </w:style>
  <w:style w:type="character" w:customStyle="1" w:styleId="MenuOptions">
    <w:name w:val="Menu Options"/>
    <w:basedOn w:val="DefaultParagraphFont"/>
    <w:rsid w:val="00380014"/>
    <w:rPr>
      <w:rFonts w:ascii="Arial Narrow" w:hAnsi="Arial Narrow"/>
      <w:smallCaps/>
    </w:rPr>
  </w:style>
  <w:style w:type="character" w:customStyle="1" w:styleId="Buttons">
    <w:name w:val="Buttons"/>
    <w:basedOn w:val="DefaultParagraphFont"/>
    <w:rsid w:val="00380014"/>
    <w:rPr>
      <w:b/>
    </w:rPr>
  </w:style>
  <w:style w:type="character" w:customStyle="1" w:styleId="Underlined">
    <w:name w:val="Underlined"/>
    <w:basedOn w:val="DefaultParagraphFont"/>
    <w:rsid w:val="00380014"/>
    <w:rPr>
      <w:u w:val="single"/>
    </w:rPr>
  </w:style>
  <w:style w:type="paragraph" w:customStyle="1" w:styleId="TableBodyTextRight">
    <w:name w:val="Table Body Text Right"/>
    <w:basedOn w:val="TableBodyText"/>
    <w:rsid w:val="00380014"/>
    <w:pPr>
      <w:widowControl w:val="0"/>
      <w:autoSpaceDE w:val="0"/>
      <w:autoSpaceDN w:val="0"/>
      <w:adjustRightInd w:val="0"/>
      <w:jc w:val="right"/>
    </w:pPr>
    <w:rPr>
      <w:rFonts w:cs="Arial"/>
      <w:szCs w:val="18"/>
    </w:rPr>
  </w:style>
  <w:style w:type="paragraph" w:customStyle="1" w:styleId="CopyrightText">
    <w:name w:val="Copyright Text"/>
    <w:basedOn w:val="BodyText"/>
    <w:rsid w:val="00380014"/>
    <w:rPr>
      <w:sz w:val="18"/>
    </w:rPr>
  </w:style>
  <w:style w:type="paragraph" w:customStyle="1" w:styleId="BodySmallRight">
    <w:name w:val="Body Small Right"/>
    <w:basedOn w:val="BodyTextRight"/>
    <w:rsid w:val="00380014"/>
    <w:rPr>
      <w:sz w:val="18"/>
      <w:szCs w:val="18"/>
    </w:rPr>
  </w:style>
  <w:style w:type="paragraph" w:customStyle="1" w:styleId="MarginEdition">
    <w:name w:val="Margin Edition"/>
    <w:basedOn w:val="MarginNote"/>
    <w:rsid w:val="00380014"/>
    <w:pPr>
      <w:spacing w:before="0" w:after="0"/>
    </w:pPr>
    <w:rPr>
      <w:rFonts w:ascii="Times New Roman" w:hAnsi="Times New Roman"/>
      <w:color w:val="999999"/>
    </w:rPr>
  </w:style>
  <w:style w:type="paragraph" w:customStyle="1" w:styleId="Spacer">
    <w:name w:val="Spacer"/>
    <w:basedOn w:val="Normal"/>
    <w:rsid w:val="00380014"/>
    <w:rPr>
      <w:sz w:val="2"/>
      <w:szCs w:val="2"/>
    </w:rPr>
  </w:style>
  <w:style w:type="character" w:customStyle="1" w:styleId="Small">
    <w:name w:val="Small"/>
    <w:basedOn w:val="DefaultParagraphFont"/>
    <w:rsid w:val="00380014"/>
    <w:rPr>
      <w:sz w:val="16"/>
    </w:rPr>
  </w:style>
  <w:style w:type="paragraph" w:customStyle="1" w:styleId="WideTable">
    <w:name w:val="Wide Table"/>
    <w:basedOn w:val="Normal"/>
    <w:rsid w:val="00380014"/>
    <w:pPr>
      <w:ind w:left="-1418"/>
    </w:pPr>
    <w:rPr>
      <w:sz w:val="2"/>
      <w:szCs w:val="2"/>
    </w:rPr>
  </w:style>
  <w:style w:type="character" w:styleId="PageNumber">
    <w:name w:val="page number"/>
    <w:basedOn w:val="DefaultParagraphFont"/>
    <w:rsid w:val="00380014"/>
  </w:style>
  <w:style w:type="paragraph" w:styleId="Quote">
    <w:name w:val="Quote"/>
    <w:basedOn w:val="Heading1"/>
    <w:link w:val="QuoteChar"/>
    <w:qFormat/>
    <w:rsid w:val="00380014"/>
    <w:rPr>
      <w:b w:val="0"/>
      <w:sz w:val="72"/>
      <w:szCs w:val="72"/>
      <w:lang w:val="en-NZ"/>
    </w:rPr>
  </w:style>
  <w:style w:type="character" w:customStyle="1" w:styleId="QuoteChar">
    <w:name w:val="Quote Char"/>
    <w:basedOn w:val="DefaultParagraphFont"/>
    <w:link w:val="Quote"/>
    <w:rsid w:val="003800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014"/>
    <w:pPr>
      <w:pageBreakBefore/>
    </w:pPr>
  </w:style>
  <w:style w:type="paragraph" w:customStyle="1" w:styleId="Border">
    <w:name w:val="Border"/>
    <w:basedOn w:val="Normal"/>
    <w:qFormat/>
    <w:rsid w:val="003800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014"/>
    <w:rPr>
      <w:b/>
      <w:bCs/>
      <w:i/>
      <w:iCs/>
      <w:color w:val="auto"/>
    </w:rPr>
  </w:style>
  <w:style w:type="paragraph" w:styleId="IntenseQuote">
    <w:name w:val="Intense Quote"/>
    <w:basedOn w:val="Normal"/>
    <w:next w:val="Normal"/>
    <w:link w:val="IntenseQuoteChar"/>
    <w:uiPriority w:val="30"/>
    <w:qFormat/>
    <w:rsid w:val="003800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0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014"/>
    <w:rPr>
      <w:smallCaps/>
      <w:color w:val="auto"/>
      <w:u w:val="single"/>
    </w:rPr>
  </w:style>
  <w:style w:type="character" w:styleId="IntenseReference">
    <w:name w:val="Intense Reference"/>
    <w:basedOn w:val="DefaultParagraphFont"/>
    <w:uiPriority w:val="32"/>
    <w:qFormat/>
    <w:rsid w:val="00380014"/>
    <w:rPr>
      <w:b/>
      <w:bCs/>
      <w:smallCaps/>
      <w:color w:val="auto"/>
      <w:spacing w:val="5"/>
      <w:u w:val="single"/>
    </w:rPr>
  </w:style>
  <w:style w:type="paragraph" w:customStyle="1" w:styleId="2ColumnHeading">
    <w:name w:val="2Column Heading"/>
    <w:basedOn w:val="BodyText"/>
    <w:qFormat/>
    <w:rsid w:val="00380014"/>
    <w:pPr>
      <w:spacing w:after="60"/>
      <w:ind w:left="-2268"/>
    </w:pPr>
    <w:rPr>
      <w:b/>
    </w:rPr>
  </w:style>
  <w:style w:type="paragraph" w:customStyle="1" w:styleId="Heading1TOC">
    <w:name w:val="Heading1 TOC"/>
    <w:basedOn w:val="Normal"/>
    <w:qFormat/>
    <w:rsid w:val="00380014"/>
    <w:pPr>
      <w:spacing w:before="240" w:after="120"/>
    </w:pPr>
    <w:rPr>
      <w:rFonts w:ascii="Times New Roman" w:hAnsi="Times New Roman"/>
      <w:b/>
      <w:sz w:val="32"/>
    </w:rPr>
  </w:style>
  <w:style w:type="paragraph" w:customStyle="1" w:styleId="Heading2TOC">
    <w:name w:val="Heading2 TOC"/>
    <w:basedOn w:val="Normal"/>
    <w:qFormat/>
    <w:rsid w:val="00380014"/>
    <w:pPr>
      <w:spacing w:before="240" w:after="60"/>
    </w:pPr>
    <w:rPr>
      <w:rFonts w:ascii="Times New Roman" w:hAnsi="Times New Roman"/>
      <w:b/>
      <w:sz w:val="28"/>
    </w:rPr>
  </w:style>
  <w:style w:type="character" w:customStyle="1" w:styleId="Underline">
    <w:name w:val="Underline"/>
    <w:basedOn w:val="DefaultParagraphFont"/>
    <w:qFormat/>
    <w:rsid w:val="00380014"/>
    <w:rPr>
      <w:u w:val="single"/>
    </w:rPr>
  </w:style>
  <w:style w:type="character" w:customStyle="1" w:styleId="BoldandItalics">
    <w:name w:val="Bold and Italics"/>
    <w:qFormat/>
    <w:rsid w:val="00380014"/>
    <w:rPr>
      <w:b/>
      <w:i/>
      <w:u w:val="none"/>
    </w:rPr>
  </w:style>
  <w:style w:type="paragraph" w:styleId="BalloonText">
    <w:name w:val="Balloon Text"/>
    <w:basedOn w:val="Normal"/>
    <w:link w:val="BalloonTextChar"/>
    <w:rsid w:val="00380014"/>
    <w:rPr>
      <w:rFonts w:ascii="Tahoma" w:hAnsi="Tahoma" w:cs="Tahoma"/>
      <w:sz w:val="16"/>
      <w:szCs w:val="16"/>
    </w:rPr>
  </w:style>
  <w:style w:type="character" w:customStyle="1" w:styleId="BalloonTextChar">
    <w:name w:val="Balloon Text Char"/>
    <w:basedOn w:val="DefaultParagraphFont"/>
    <w:link w:val="BalloonText"/>
    <w:rsid w:val="003800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0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00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014"/>
    <w:rPr>
      <w:b/>
      <w:color w:val="660033"/>
      <w:spacing w:val="0"/>
    </w:rPr>
  </w:style>
  <w:style w:type="paragraph" w:customStyle="1" w:styleId="Nameditemlist">
    <w:name w:val="Named item list"/>
    <w:basedOn w:val="BodyText"/>
    <w:qFormat/>
    <w:rsid w:val="00380014"/>
    <w:pPr>
      <w:tabs>
        <w:tab w:val="left" w:pos="2835"/>
      </w:tabs>
      <w:ind w:left="2835" w:hanging="2835"/>
    </w:pPr>
  </w:style>
  <w:style w:type="paragraph" w:customStyle="1" w:styleId="BodyTextnopadding">
    <w:name w:val="Body Text no padding"/>
    <w:basedOn w:val="BodyText"/>
    <w:qFormat/>
    <w:rsid w:val="00380014"/>
    <w:pPr>
      <w:spacing w:before="0" w:after="0"/>
    </w:pPr>
  </w:style>
  <w:style w:type="paragraph" w:customStyle="1" w:styleId="BodyTextBold">
    <w:name w:val="Body Text Bold"/>
    <w:basedOn w:val="BodyText"/>
    <w:qFormat/>
    <w:rsid w:val="00380014"/>
    <w:rPr>
      <w:b/>
    </w:rPr>
  </w:style>
  <w:style w:type="character" w:styleId="Hyperlink">
    <w:name w:val="Hyperlink"/>
    <w:basedOn w:val="DefaultParagraphFont"/>
    <w:uiPriority w:val="99"/>
    <w:unhideWhenUsed/>
    <w:rsid w:val="001670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798</Words>
  <Characters>5063</Characters>
  <Application>Microsoft Office Word</Application>
  <DocSecurity>0</DocSecurity>
  <Lines>194</Lines>
  <Paragraphs>110</Paragraphs>
  <ScaleCrop>false</ScaleCrop>
  <Company>Author-it Software Corporation Ltd.</Company>
  <LinksUpToDate>false</LinksUpToDate>
  <CharactersWithSpaces>5751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TLIX0040 Determine complex customs value</dc:title>
  <dc:subject>Approved</dc:subject>
  <dc:creator>Industry Skills Australia</dc:creator>
  <cp:keywords>Release: 1</cp:keywords>
  <dc:description>Review Date: 12 April 2008</dc:description>
  <cp:lastModifiedBy>HSD_TPCMSd.prod</cp:lastModifiedBy>
  <cp:revision>3</cp:revision>
  <dcterms:created xsi:type="dcterms:W3CDTF">2025-03-01T15:48:00Z</dcterms:created>
  <dcterms:modified xsi:type="dcterms:W3CDTF">2025-03-01T15:49:00Z</dcterms:modified>
</cp:coreProperties>
</file>