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56A4" w:rsidP="00A256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TLIX0039 Determine customs value</w:t>
      </w:r>
      <w:r>
        <w:fldChar w:fldCharType="end"/>
      </w:r>
    </w:p>
    <w:p w:rsidR="00A256A4" w:rsidP="00A256A4">
      <w:pPr>
        <w:pStyle w:val="Version"/>
        <w:sectPr w:rsidSect="000F70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7011" w:rsidP="000F7011">
      <w:pPr>
        <w:pStyle w:val="SuperHeading"/>
      </w:pPr>
      <w:r w:rsidRPr="000F7011">
        <w:t>TLIX0039 Determine customs value</w:t>
      </w:r>
    </w:p>
    <w:p w:rsidR="00000000" w:rsidRPr="000F7011" w:rsidP="000F7011">
      <w:pPr>
        <w:pStyle w:val="Heading1"/>
      </w:pPr>
      <w:bookmarkStart w:id="1" w:name="O_1232639"/>
      <w:bookmarkEnd w:id="1"/>
      <w:r w:rsidRPr="000F701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70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011" w:rsidP="000F7011">
            <w:pPr>
              <w:pStyle w:val="BodyText"/>
            </w:pPr>
            <w:r w:rsidRPr="000F7011">
              <w:rPr>
                <w:rStyle w:val="SpecialBold"/>
              </w:rPr>
              <w:t>Release 1</w:t>
            </w:r>
            <w:r w:rsidRPr="000F7011">
              <w:t>. This is the first release of this unit of competency in the TLI Transport and Logistics Training Package.</w:t>
            </w:r>
          </w:p>
        </w:tc>
      </w:tr>
    </w:tbl>
    <w:p w:rsidR="00A256A4" w:rsidP="000F7011">
      <w:pPr>
        <w:pStyle w:val="NoPaddingFontSize1"/>
      </w:pPr>
    </w:p>
    <w:p w:rsidR="00A256A4" w:rsidP="000F7011">
      <w:pPr>
        <w:pStyle w:val="NoPaddingFontSize1"/>
      </w:pPr>
    </w:p>
    <w:p w:rsidR="00000000" w:rsidRPr="000F7011" w:rsidP="000F7011">
      <w:pPr>
        <w:pStyle w:val="Heading1"/>
      </w:pPr>
      <w:bookmarkStart w:id="2" w:name="O_1232640"/>
      <w:bookmarkEnd w:id="2"/>
      <w:r w:rsidRPr="000F701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70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011" w:rsidP="000F7011">
            <w:pPr>
              <w:pStyle w:val="BodyText"/>
            </w:pPr>
            <w:r w:rsidRPr="000F7011">
              <w:t xml:space="preserve">This unit involves the skills and knowledge required to carry out customs valuation </w:t>
            </w:r>
            <w:r w:rsidRPr="000F7011">
              <w:t>using the transaction value method only, for the purpose of determining the customs value.</w:t>
            </w:r>
          </w:p>
          <w:p w:rsidR="00000000" w:rsidRPr="000F7011" w:rsidP="000F7011">
            <w:pPr>
              <w:pStyle w:val="BodyText"/>
            </w:pPr>
            <w:r w:rsidRPr="000F7011">
              <w:t>This unit applies to individuals working as a customs broker. Work must be carried out in compliance with the Customs Act as amended and related case law and workpla</w:t>
            </w:r>
            <w:r w:rsidRPr="000F7011">
              <w:t>ce requirements concerning customs valuation functions.</w:t>
            </w:r>
          </w:p>
          <w:p w:rsidR="00000000" w:rsidRPr="000F7011" w:rsidP="000F7011">
            <w:pPr>
              <w:pStyle w:val="BodyText"/>
            </w:pPr>
            <w:r w:rsidRPr="000F7011">
              <w:t xml:space="preserve">Work is undertaken in a range of environments, including small to large worksites, in the customs broking and international supply chain industries. </w:t>
            </w:r>
          </w:p>
          <w:p w:rsidR="00000000" w:rsidRPr="000F7011" w:rsidP="000F7011">
            <w:pPr>
              <w:pStyle w:val="BodyText"/>
            </w:pPr>
            <w:r w:rsidRPr="000F7011">
              <w:t>No licensing, legislative or certification require</w:t>
            </w:r>
            <w:r w:rsidRPr="000F7011">
              <w:t>ments apply to this unit at the time of publication.</w:t>
            </w:r>
          </w:p>
        </w:tc>
      </w:tr>
    </w:tbl>
    <w:p w:rsidR="00A256A4" w:rsidP="000F7011">
      <w:pPr>
        <w:pStyle w:val="NoPaddingFontSize1"/>
      </w:pPr>
    </w:p>
    <w:p w:rsidR="00A256A4" w:rsidP="000F7011">
      <w:pPr>
        <w:pStyle w:val="NoPaddingFontSize1"/>
      </w:pPr>
    </w:p>
    <w:p w:rsidR="00000000" w:rsidRPr="000F7011" w:rsidP="000F7011">
      <w:pPr>
        <w:pStyle w:val="Heading1"/>
      </w:pPr>
      <w:bookmarkStart w:id="3" w:name="O_1232641"/>
      <w:bookmarkEnd w:id="3"/>
      <w:r w:rsidRPr="000F701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70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011" w:rsidP="000F7011">
            <w:pPr>
              <w:pStyle w:val="BodyText"/>
            </w:pPr>
            <w:r w:rsidRPr="000F7011">
              <w:t>Not applicable.</w:t>
            </w:r>
          </w:p>
        </w:tc>
      </w:tr>
    </w:tbl>
    <w:p w:rsidR="00A256A4" w:rsidP="000F7011">
      <w:pPr>
        <w:pStyle w:val="NoPaddingFontSize1"/>
      </w:pPr>
    </w:p>
    <w:p w:rsidR="00A256A4" w:rsidP="000F7011">
      <w:pPr>
        <w:pStyle w:val="NoPaddingFontSize1"/>
      </w:pPr>
    </w:p>
    <w:p w:rsidR="00000000" w:rsidRPr="000F7011" w:rsidP="000F7011">
      <w:pPr>
        <w:pStyle w:val="Heading1"/>
      </w:pPr>
      <w:bookmarkStart w:id="4" w:name="O_1232642"/>
      <w:bookmarkEnd w:id="4"/>
      <w:r w:rsidRPr="000F701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70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011" w:rsidP="000F7011">
            <w:pPr>
              <w:pStyle w:val="BodyText"/>
            </w:pPr>
            <w:r w:rsidRPr="000F7011">
              <w:t>X – Logistics</w:t>
            </w:r>
          </w:p>
        </w:tc>
      </w:tr>
    </w:tbl>
    <w:p w:rsidR="00A256A4" w:rsidP="000F7011">
      <w:pPr>
        <w:pStyle w:val="NoPaddingFontSize1"/>
      </w:pPr>
    </w:p>
    <w:p w:rsidR="00A256A4" w:rsidP="000F7011">
      <w:pPr>
        <w:pStyle w:val="NoPaddingFontSize1"/>
      </w:pPr>
    </w:p>
    <w:p w:rsidR="00000000" w:rsidRPr="000F7011" w:rsidP="000F7011">
      <w:pPr>
        <w:pStyle w:val="Heading1"/>
      </w:pPr>
      <w:bookmarkStart w:id="5" w:name="O_1232643"/>
      <w:bookmarkEnd w:id="5"/>
      <w:r w:rsidRPr="000F701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70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011" w:rsidP="000F7011">
            <w:pPr>
              <w:pStyle w:val="BodyText"/>
            </w:pPr>
            <w:r w:rsidRPr="000F7011">
              <w:t>Customs Broking.</w:t>
            </w:r>
          </w:p>
        </w:tc>
      </w:tr>
    </w:tbl>
    <w:p w:rsidR="00A256A4" w:rsidP="000F7011">
      <w:pPr>
        <w:pStyle w:val="NoPaddingFontSize1"/>
      </w:pPr>
    </w:p>
    <w:p w:rsidR="00A256A4" w:rsidP="000F7011">
      <w:pPr>
        <w:pStyle w:val="NoPaddingFontSize1"/>
      </w:pPr>
    </w:p>
    <w:p w:rsidR="00000000" w:rsidRPr="000F7011" w:rsidP="000F7011">
      <w:pPr>
        <w:pStyle w:val="Heading1"/>
      </w:pPr>
      <w:bookmarkStart w:id="6" w:name="O_1232644"/>
      <w:bookmarkEnd w:id="6"/>
      <w:r w:rsidRPr="000F701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5"/>
        <w:gridCol w:w="1595"/>
        <w:gridCol w:w="608"/>
        <w:gridCol w:w="3133"/>
        <w:gridCol w:w="2997"/>
        <w:gridCol w:w="371"/>
      </w:tblGrid>
      <w:tr w:rsidTr="000F70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6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011" w:rsidP="000F7011">
            <w:pPr>
              <w:pStyle w:val="BodyText"/>
            </w:pPr>
            <w:r w:rsidRPr="000F7011">
              <w:rPr>
                <w:rStyle w:val="SpecialBold"/>
              </w:rPr>
              <w:t>ELEMENTS</w:t>
            </w:r>
          </w:p>
        </w:tc>
        <w:tc>
          <w:tcPr>
            <w:tcW w:w="33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011">
            <w:pPr>
              <w:pStyle w:val="BodyText"/>
              <w:rPr>
                <w:lang w:val="en-NZ"/>
              </w:rPr>
            </w:pPr>
            <w:r w:rsidRPr="000F7011">
              <w:rPr>
                <w:rStyle w:val="SpecialBold"/>
              </w:rPr>
              <w:t>PERFORMANCE CRITERIA</w:t>
            </w:r>
          </w:p>
        </w:tc>
      </w:tr>
      <w:tr w:rsidTr="000F70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6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011">
            <w:pPr>
              <w:pStyle w:val="BodyText"/>
              <w:rPr>
                <w:lang w:val="en-NZ"/>
              </w:rPr>
            </w:pPr>
            <w:r w:rsidRPr="000F7011">
              <w:t>Elements describe the essential outcomes.</w:t>
            </w:r>
          </w:p>
        </w:tc>
        <w:tc>
          <w:tcPr>
            <w:tcW w:w="33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011">
            <w:pPr>
              <w:pStyle w:val="BodyText"/>
              <w:rPr>
                <w:lang w:val="en-NZ"/>
              </w:rPr>
            </w:pPr>
            <w:r w:rsidRPr="000F7011">
              <w:t>Performance criteria describe the performance needed to demonstrate achievement of the element.</w:t>
            </w:r>
          </w:p>
        </w:tc>
      </w:tr>
      <w:tr w:rsidTr="000F70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71" w:type="dxa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011" w:rsidP="000F7011">
            <w:pPr>
              <w:pStyle w:val="BodyText"/>
            </w:pPr>
            <w:r w:rsidRPr="000F7011">
              <w:rPr>
                <w:rStyle w:val="SpecialBold"/>
              </w:rPr>
              <w:t>1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011" w:rsidP="000F7011">
            <w:pPr>
              <w:pStyle w:val="BodyText"/>
            </w:pPr>
            <w:r w:rsidRPr="000F7011">
              <w:rPr>
                <w:rStyle w:val="SpecialBold"/>
              </w:rPr>
              <w:t xml:space="preserve">Determine valuation </w:t>
            </w:r>
            <w:r w:rsidRPr="000F7011">
              <w:rPr>
                <w:rStyle w:val="SpecialBold"/>
              </w:rPr>
              <w:t>method to be applied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011">
            <w:pPr>
              <w:pStyle w:val="BodyText"/>
              <w:rPr>
                <w:lang w:val="en-NZ"/>
              </w:rPr>
            </w:pPr>
            <w:r w:rsidRPr="000F7011">
              <w:rPr>
                <w:rStyle w:val="SpecialBold"/>
              </w:rPr>
              <w:t>1.1</w:t>
            </w:r>
          </w:p>
        </w:tc>
        <w:tc>
          <w:tcPr>
            <w:tcW w:w="61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011">
            <w:pPr>
              <w:pStyle w:val="BodyText"/>
              <w:rPr>
                <w:lang w:val="en-NZ"/>
              </w:rPr>
            </w:pPr>
            <w:r w:rsidRPr="000F7011">
              <w:t xml:space="preserve">World Trade Organization (WTO) Customs Valuation Agreement is reviewed </w:t>
            </w:r>
          </w:p>
        </w:tc>
      </w:tr>
      <w:tr w:rsidTr="000F70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71" w:type="dxa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011">
            <w:pPr>
              <w:pStyle w:val="BodyText"/>
              <w:keepLines w:val="0"/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011">
            <w:pPr>
              <w:pStyle w:val="BodyText"/>
              <w:rPr>
                <w:lang w:val="en-NZ"/>
              </w:rPr>
            </w:pPr>
            <w:r w:rsidRPr="000F7011">
              <w:rPr>
                <w:rStyle w:val="SpecialBold"/>
              </w:rPr>
              <w:t>1.2</w:t>
            </w:r>
          </w:p>
        </w:tc>
        <w:tc>
          <w:tcPr>
            <w:tcW w:w="61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011">
            <w:pPr>
              <w:pStyle w:val="BodyText"/>
              <w:rPr>
                <w:lang w:val="en-NZ"/>
              </w:rPr>
            </w:pPr>
            <w:r w:rsidRPr="000F7011">
              <w:t>Valuation provisions are applied in accordance with the Customs Act as amended</w:t>
            </w:r>
          </w:p>
        </w:tc>
      </w:tr>
      <w:tr w:rsidTr="000F70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71" w:type="dxa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011">
            <w:pPr>
              <w:pStyle w:val="BodyText"/>
              <w:keepLines w:val="0"/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011">
            <w:pPr>
              <w:pStyle w:val="BodyText"/>
              <w:rPr>
                <w:lang w:val="en-NZ"/>
              </w:rPr>
            </w:pPr>
            <w:r w:rsidRPr="000F7011">
              <w:rPr>
                <w:rStyle w:val="SpecialBold"/>
              </w:rPr>
              <w:t>1.3</w:t>
            </w:r>
          </w:p>
        </w:tc>
        <w:tc>
          <w:tcPr>
            <w:tcW w:w="61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011">
            <w:pPr>
              <w:pStyle w:val="BodyText"/>
              <w:rPr>
                <w:lang w:val="en-NZ"/>
              </w:rPr>
            </w:pPr>
            <w:r w:rsidRPr="000F7011">
              <w:t xml:space="preserve">Situations when transaction valuation method applies are recognised </w:t>
            </w:r>
          </w:p>
        </w:tc>
      </w:tr>
      <w:tr w:rsidTr="000F70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71" w:type="dxa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011">
            <w:pPr>
              <w:pStyle w:val="BodyText"/>
              <w:keepLines w:val="0"/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011">
            <w:pPr>
              <w:pStyle w:val="BodyText"/>
              <w:rPr>
                <w:lang w:val="en-NZ"/>
              </w:rPr>
            </w:pPr>
            <w:r w:rsidRPr="000F7011">
              <w:rPr>
                <w:rStyle w:val="SpecialBold"/>
              </w:rPr>
              <w:t>1.4</w:t>
            </w:r>
          </w:p>
        </w:tc>
        <w:tc>
          <w:tcPr>
            <w:tcW w:w="61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011">
            <w:pPr>
              <w:pStyle w:val="BodyText"/>
              <w:rPr>
                <w:lang w:val="en-NZ"/>
              </w:rPr>
            </w:pPr>
            <w:r w:rsidRPr="000F7011">
              <w:t>Situations when transaction value is not applicable are recognised</w:t>
            </w:r>
          </w:p>
        </w:tc>
      </w:tr>
      <w:tr w:rsidTr="000F70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71" w:type="dxa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011">
            <w:pPr>
              <w:pStyle w:val="BodyText"/>
              <w:keepLines w:val="0"/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011">
            <w:pPr>
              <w:pStyle w:val="BodyText"/>
              <w:rPr>
                <w:lang w:val="en-NZ"/>
              </w:rPr>
            </w:pPr>
            <w:r w:rsidRPr="000F7011">
              <w:rPr>
                <w:rStyle w:val="SpecialBold"/>
              </w:rPr>
              <w:t>1.5</w:t>
            </w:r>
          </w:p>
        </w:tc>
        <w:tc>
          <w:tcPr>
            <w:tcW w:w="61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011">
            <w:pPr>
              <w:pStyle w:val="BodyText"/>
              <w:rPr>
                <w:lang w:val="en-NZ"/>
              </w:rPr>
            </w:pPr>
            <w:r w:rsidRPr="000F7011">
              <w:t>Situations when there is insufficient reliable information to apply transaction valuation method are identified</w:t>
            </w:r>
          </w:p>
        </w:tc>
      </w:tr>
      <w:tr w:rsidTr="000F70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71" w:type="dxa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011">
            <w:pPr>
              <w:pStyle w:val="BodyText"/>
              <w:keepLines w:val="0"/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011">
            <w:pPr>
              <w:pStyle w:val="BodyText"/>
              <w:rPr>
                <w:lang w:val="en-NZ"/>
              </w:rPr>
            </w:pPr>
            <w:r w:rsidRPr="000F7011">
              <w:rPr>
                <w:rStyle w:val="SpecialBold"/>
              </w:rPr>
              <w:t>1.6</w:t>
            </w:r>
          </w:p>
        </w:tc>
        <w:tc>
          <w:tcPr>
            <w:tcW w:w="61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011">
            <w:pPr>
              <w:pStyle w:val="BodyText"/>
              <w:rPr>
                <w:lang w:val="en-NZ"/>
              </w:rPr>
            </w:pPr>
            <w:r w:rsidRPr="000F7011">
              <w:t>Price is determined from import documentation in accordance with the Customs Act as amended</w:t>
            </w:r>
          </w:p>
        </w:tc>
      </w:tr>
      <w:tr w:rsidTr="000F70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71" w:type="dxa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011" w:rsidP="000F7011">
            <w:pPr>
              <w:pStyle w:val="BodyText"/>
            </w:pPr>
            <w:r w:rsidRPr="000F7011">
              <w:rPr>
                <w:rStyle w:val="SpecialBold"/>
              </w:rPr>
              <w:t>2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011" w:rsidP="000F7011">
            <w:pPr>
              <w:pStyle w:val="BodyText"/>
            </w:pPr>
            <w:r w:rsidRPr="000F7011">
              <w:rPr>
                <w:rStyle w:val="SpecialBold"/>
              </w:rPr>
              <w:t>Identify import sales transaction for customs valuation purposes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011">
            <w:pPr>
              <w:pStyle w:val="BodyText"/>
              <w:rPr>
                <w:lang w:val="en-NZ"/>
              </w:rPr>
            </w:pPr>
            <w:r w:rsidRPr="000F7011">
              <w:rPr>
                <w:rStyle w:val="SpecialBold"/>
              </w:rPr>
              <w:t>2.1</w:t>
            </w:r>
          </w:p>
        </w:tc>
        <w:tc>
          <w:tcPr>
            <w:tcW w:w="61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011">
            <w:pPr>
              <w:pStyle w:val="BodyText"/>
              <w:rPr>
                <w:lang w:val="en-NZ"/>
              </w:rPr>
            </w:pPr>
            <w:r w:rsidRPr="000F7011">
              <w:t>Relevant import sales transaction is identified</w:t>
            </w:r>
          </w:p>
        </w:tc>
      </w:tr>
      <w:tr w:rsidTr="000F70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71" w:type="dxa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011">
            <w:pPr>
              <w:pStyle w:val="BodyText"/>
              <w:keepLines w:val="0"/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011">
            <w:pPr>
              <w:pStyle w:val="BodyText"/>
              <w:rPr>
                <w:lang w:val="en-NZ"/>
              </w:rPr>
            </w:pPr>
            <w:r w:rsidRPr="000F7011">
              <w:rPr>
                <w:rStyle w:val="SpecialBold"/>
              </w:rPr>
              <w:t>2.2</w:t>
            </w:r>
          </w:p>
        </w:tc>
        <w:tc>
          <w:tcPr>
            <w:tcW w:w="61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011">
            <w:pPr>
              <w:pStyle w:val="BodyText"/>
              <w:rPr>
                <w:lang w:val="en-NZ"/>
              </w:rPr>
            </w:pPr>
            <w:r w:rsidRPr="000F7011">
              <w:t xml:space="preserve">Any relationship between owner and </w:t>
            </w:r>
            <w:r w:rsidRPr="000F7011">
              <w:t>supplier is determined and any impact of relationship on customs valuation is managed in accordance with the Customs Act as amended</w:t>
            </w:r>
          </w:p>
        </w:tc>
      </w:tr>
      <w:tr w:rsidTr="000F70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71" w:type="dxa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011" w:rsidP="000F7011">
            <w:pPr>
              <w:pStyle w:val="BodyText"/>
            </w:pPr>
            <w:r w:rsidRPr="000F7011">
              <w:rPr>
                <w:rStyle w:val="SpecialBold"/>
              </w:rPr>
              <w:t>3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011" w:rsidP="000F7011">
            <w:pPr>
              <w:pStyle w:val="BodyText"/>
            </w:pPr>
            <w:r w:rsidRPr="000F7011">
              <w:rPr>
                <w:rStyle w:val="SpecialBold"/>
              </w:rPr>
              <w:t>Determine transaction value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011">
            <w:pPr>
              <w:pStyle w:val="BodyText"/>
              <w:rPr>
                <w:lang w:val="en-NZ"/>
              </w:rPr>
            </w:pPr>
            <w:r w:rsidRPr="000F7011">
              <w:rPr>
                <w:rStyle w:val="SpecialBold"/>
              </w:rPr>
              <w:t>3.1</w:t>
            </w:r>
          </w:p>
        </w:tc>
        <w:tc>
          <w:tcPr>
            <w:tcW w:w="61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011">
            <w:pPr>
              <w:pStyle w:val="BodyText"/>
              <w:rPr>
                <w:lang w:val="en-NZ"/>
              </w:rPr>
            </w:pPr>
            <w:r w:rsidRPr="000F7011">
              <w:t>Price in import sales transaction is identified</w:t>
            </w:r>
          </w:p>
        </w:tc>
      </w:tr>
      <w:tr w:rsidTr="000F70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71" w:type="dxa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011">
            <w:pPr>
              <w:pStyle w:val="BodyText"/>
              <w:keepLines w:val="0"/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011">
            <w:pPr>
              <w:pStyle w:val="BodyText"/>
              <w:rPr>
                <w:lang w:val="en-NZ"/>
              </w:rPr>
            </w:pPr>
            <w:r w:rsidRPr="000F7011">
              <w:rPr>
                <w:rStyle w:val="SpecialBold"/>
              </w:rPr>
              <w:t>3.2</w:t>
            </w:r>
          </w:p>
        </w:tc>
        <w:tc>
          <w:tcPr>
            <w:tcW w:w="61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011">
            <w:pPr>
              <w:pStyle w:val="BodyText"/>
              <w:rPr>
                <w:lang w:val="en-NZ"/>
              </w:rPr>
            </w:pPr>
            <w:r w:rsidRPr="000F7011">
              <w:t>The terms of trade relevant to the import sales transaction are identified</w:t>
            </w:r>
          </w:p>
        </w:tc>
      </w:tr>
      <w:tr w:rsidTr="000F70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71" w:type="dxa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011">
            <w:pPr>
              <w:pStyle w:val="BodyText"/>
              <w:keepLines w:val="0"/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011">
            <w:pPr>
              <w:pStyle w:val="BodyText"/>
              <w:rPr>
                <w:lang w:val="en-NZ"/>
              </w:rPr>
            </w:pPr>
            <w:r w:rsidRPr="000F7011">
              <w:rPr>
                <w:rStyle w:val="SpecialBold"/>
              </w:rPr>
              <w:t>3.3</w:t>
            </w:r>
          </w:p>
        </w:tc>
        <w:tc>
          <w:tcPr>
            <w:tcW w:w="61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011">
            <w:pPr>
              <w:pStyle w:val="BodyText"/>
              <w:rPr>
                <w:lang w:val="en-NZ"/>
              </w:rPr>
            </w:pPr>
            <w:r w:rsidRPr="000F7011">
              <w:t>Adjusted price is calculated in accordance with the Customs Act as amended</w:t>
            </w:r>
          </w:p>
        </w:tc>
      </w:tr>
      <w:tr w:rsidTr="000F70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71" w:type="dxa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011">
            <w:pPr>
              <w:pStyle w:val="BodyText"/>
              <w:keepLines w:val="0"/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011">
            <w:pPr>
              <w:pStyle w:val="BodyText"/>
              <w:rPr>
                <w:lang w:val="en-NZ"/>
              </w:rPr>
            </w:pPr>
            <w:r w:rsidRPr="000F7011">
              <w:rPr>
                <w:rStyle w:val="SpecialBold"/>
              </w:rPr>
              <w:t>3.4</w:t>
            </w:r>
          </w:p>
        </w:tc>
        <w:tc>
          <w:tcPr>
            <w:tcW w:w="61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011">
            <w:pPr>
              <w:pStyle w:val="BodyText"/>
              <w:rPr>
                <w:lang w:val="en-NZ"/>
              </w:rPr>
            </w:pPr>
            <w:r w:rsidRPr="000F7011">
              <w:t>Price-related costs and any other additions or deductions to adjusted price are made in ac</w:t>
            </w:r>
            <w:r w:rsidRPr="000F7011">
              <w:t xml:space="preserve">cordance with the Customs Act as amended </w:t>
            </w:r>
          </w:p>
        </w:tc>
      </w:tr>
      <w:tr w:rsidTr="000F70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71" w:type="dxa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011">
            <w:pPr>
              <w:pStyle w:val="BodyText"/>
              <w:keepLines w:val="0"/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011">
            <w:pPr>
              <w:pStyle w:val="BodyText"/>
              <w:rPr>
                <w:lang w:val="en-NZ"/>
              </w:rPr>
            </w:pPr>
            <w:r w:rsidRPr="000F7011">
              <w:rPr>
                <w:rStyle w:val="SpecialBold"/>
              </w:rPr>
              <w:t>3.5</w:t>
            </w:r>
          </w:p>
        </w:tc>
        <w:tc>
          <w:tcPr>
            <w:tcW w:w="61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011">
            <w:pPr>
              <w:pStyle w:val="BodyText"/>
              <w:rPr>
                <w:lang w:val="en-NZ"/>
              </w:rPr>
            </w:pPr>
            <w:r w:rsidRPr="000F7011">
              <w:t>Transaction value is calculated</w:t>
            </w:r>
          </w:p>
        </w:tc>
      </w:tr>
      <w:tr w:rsidTr="000F70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71" w:type="dxa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011" w:rsidP="000F7011">
            <w:pPr>
              <w:pStyle w:val="BodyText"/>
            </w:pPr>
            <w:r w:rsidRPr="000F7011">
              <w:rPr>
                <w:rStyle w:val="SpecialBold"/>
              </w:rPr>
              <w:t>4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011" w:rsidP="000F7011">
            <w:pPr>
              <w:pStyle w:val="BodyText"/>
            </w:pPr>
            <w:r w:rsidRPr="000F7011">
              <w:rPr>
                <w:rStyle w:val="SpecialBold"/>
              </w:rPr>
              <w:t>Determine customs value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011">
            <w:pPr>
              <w:pStyle w:val="BodyText"/>
              <w:rPr>
                <w:lang w:val="en-NZ"/>
              </w:rPr>
            </w:pPr>
            <w:r w:rsidRPr="000F7011">
              <w:rPr>
                <w:rStyle w:val="SpecialBold"/>
              </w:rPr>
              <w:t>4.1</w:t>
            </w:r>
          </w:p>
        </w:tc>
        <w:tc>
          <w:tcPr>
            <w:tcW w:w="61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011">
            <w:pPr>
              <w:pStyle w:val="BodyText"/>
              <w:rPr>
                <w:lang w:val="en-NZ"/>
              </w:rPr>
            </w:pPr>
            <w:r w:rsidRPr="000F7011">
              <w:t xml:space="preserve">Date and place of export are determined in accordance with Customs Act as amended </w:t>
            </w:r>
          </w:p>
        </w:tc>
      </w:tr>
      <w:tr w:rsidTr="000F70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71" w:type="dxa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011">
            <w:pPr>
              <w:pStyle w:val="BodyText"/>
              <w:keepLines w:val="0"/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011">
            <w:pPr>
              <w:pStyle w:val="BodyText"/>
              <w:rPr>
                <w:lang w:val="en-NZ"/>
              </w:rPr>
            </w:pPr>
            <w:r w:rsidRPr="000F7011">
              <w:rPr>
                <w:rStyle w:val="SpecialBold"/>
              </w:rPr>
              <w:t>4.2</w:t>
            </w:r>
          </w:p>
        </w:tc>
        <w:tc>
          <w:tcPr>
            <w:tcW w:w="61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011">
            <w:pPr>
              <w:pStyle w:val="BodyText"/>
              <w:rPr>
                <w:lang w:val="en-NZ"/>
              </w:rPr>
            </w:pPr>
            <w:r w:rsidRPr="000F7011">
              <w:t xml:space="preserve">Date of valuation is identified </w:t>
            </w:r>
          </w:p>
        </w:tc>
      </w:tr>
      <w:tr w:rsidTr="000F70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71" w:type="dxa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011">
            <w:pPr>
              <w:pStyle w:val="BodyText"/>
              <w:keepLines w:val="0"/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011">
            <w:pPr>
              <w:pStyle w:val="BodyText"/>
              <w:rPr>
                <w:lang w:val="en-NZ"/>
              </w:rPr>
            </w:pPr>
            <w:r w:rsidRPr="000F7011">
              <w:rPr>
                <w:rStyle w:val="SpecialBold"/>
              </w:rPr>
              <w:t>4.3</w:t>
            </w:r>
          </w:p>
        </w:tc>
        <w:tc>
          <w:tcPr>
            <w:tcW w:w="61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011" w:rsidP="000F7011">
            <w:pPr>
              <w:pStyle w:val="BodyText"/>
            </w:pPr>
            <w:r w:rsidRPr="000F7011">
              <w:t xml:space="preserve">Customs value is calculated using appropriate rate of currency exchange </w:t>
            </w:r>
          </w:p>
        </w:tc>
      </w:tr>
    </w:tbl>
    <w:p w:rsidR="00A256A4" w:rsidP="000F7011">
      <w:pPr>
        <w:pStyle w:val="NoPaddingFontSize1"/>
      </w:pPr>
    </w:p>
    <w:p w:rsidR="00A256A4" w:rsidP="000F7011">
      <w:pPr>
        <w:pStyle w:val="NoPaddingFontSize1"/>
      </w:pPr>
    </w:p>
    <w:p w:rsidR="00000000" w:rsidRPr="000F7011" w:rsidP="000F7011">
      <w:pPr>
        <w:pStyle w:val="Heading1"/>
      </w:pPr>
      <w:bookmarkStart w:id="7" w:name="O_1232645"/>
      <w:bookmarkEnd w:id="7"/>
      <w:r w:rsidRPr="000F701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70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011" w:rsidP="000F7011">
            <w:pPr>
              <w:pStyle w:val="BodyText"/>
            </w:pPr>
            <w:r w:rsidRPr="000F7011">
              <w:t>Foundation skills essential to performance are explicit in the performance criteria of this unit of competency.</w:t>
            </w:r>
          </w:p>
        </w:tc>
      </w:tr>
    </w:tbl>
    <w:p w:rsidR="00A256A4" w:rsidP="000F7011">
      <w:pPr>
        <w:pStyle w:val="NoPaddingFontSize1"/>
      </w:pPr>
    </w:p>
    <w:p w:rsidR="00A256A4" w:rsidP="000F7011">
      <w:pPr>
        <w:pStyle w:val="NoPaddingFontSize1"/>
      </w:pPr>
    </w:p>
    <w:p w:rsidR="00000000" w:rsidRPr="000F7011" w:rsidP="000F7011">
      <w:pPr>
        <w:pStyle w:val="Heading1"/>
      </w:pPr>
      <w:bookmarkStart w:id="8" w:name="O_1232646"/>
      <w:bookmarkEnd w:id="8"/>
      <w:r w:rsidRPr="000F701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70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011" w:rsidP="000F7011">
            <w:pPr>
              <w:pStyle w:val="BodyText"/>
            </w:pPr>
            <w:r w:rsidRPr="000F7011">
              <w:t>Range is restricted to essential operating conditions and any other variables essential to the work environment.</w:t>
            </w:r>
          </w:p>
          <w:p w:rsidR="00000000" w:rsidRPr="000F7011" w:rsidP="000F7011">
            <w:pPr>
              <w:pStyle w:val="BodyText"/>
            </w:pPr>
            <w:r w:rsidRPr="000F7011">
              <w:t>Non-essential conditions can be found in the TLI Transport and Logistics Training Package Companion Volume Implementation G</w:t>
            </w:r>
            <w:r w:rsidRPr="000F7011">
              <w:t>uide.</w:t>
            </w:r>
          </w:p>
        </w:tc>
      </w:tr>
    </w:tbl>
    <w:p w:rsidR="00A256A4" w:rsidP="000F7011">
      <w:pPr>
        <w:pStyle w:val="NoPaddingFontSize1"/>
      </w:pPr>
    </w:p>
    <w:p w:rsidR="00A256A4" w:rsidP="000F7011">
      <w:pPr>
        <w:pStyle w:val="NoPaddingFontSize1"/>
      </w:pPr>
    </w:p>
    <w:p w:rsidR="00000000" w:rsidRPr="000F7011" w:rsidP="000F7011">
      <w:pPr>
        <w:pStyle w:val="Heading1"/>
      </w:pPr>
      <w:bookmarkStart w:id="9" w:name="O_1232647"/>
      <w:bookmarkEnd w:id="9"/>
      <w:r w:rsidRPr="000F701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70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011" w:rsidP="000F7011">
            <w:pPr>
              <w:pStyle w:val="BodyText"/>
            </w:pPr>
            <w:r w:rsidRPr="000F7011">
              <w:t>This unit replaces but is not equivalent to TLIX5047 Determine customs value.</w:t>
            </w:r>
          </w:p>
        </w:tc>
      </w:tr>
    </w:tbl>
    <w:p w:rsidR="00A256A4" w:rsidP="000F7011">
      <w:pPr>
        <w:pStyle w:val="NoPaddingFontSize1"/>
      </w:pPr>
    </w:p>
    <w:p w:rsidR="00A256A4" w:rsidP="000F7011">
      <w:pPr>
        <w:pStyle w:val="NoPaddingFontSize1"/>
      </w:pPr>
    </w:p>
    <w:p w:rsidR="00000000" w:rsidRPr="000F7011" w:rsidP="000F7011">
      <w:pPr>
        <w:pStyle w:val="Heading1"/>
      </w:pPr>
      <w:bookmarkStart w:id="10" w:name="O_1232654"/>
      <w:bookmarkEnd w:id="10"/>
      <w:r w:rsidRPr="000F7011">
        <w:t>Links</w:t>
      </w:r>
    </w:p>
    <w:p w:rsidR="00000000" w:rsidRPr="000F7011" w:rsidP="00A256A4">
      <w:pPr>
        <w:pStyle w:val="BodyText"/>
      </w:pPr>
      <w:r w:rsidRPr="000F7011">
        <w:t>Companion Volume Implementation Guides are found in VETNet -</w:t>
      </w:r>
      <w:r w:rsidRPr="000F7011">
        <w:t xml:space="preserve">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A186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F7011" w:rsidP="000F7011"/>
    <w:sectPr w:rsidSect="000F70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0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011" w:rsidRPr="00A256A4" w:rsidP="00A256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0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6A4" w:rsidP="000F70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56A4" w:rsidP="000F70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256A4" w:rsidP="000F70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0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6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7011" w:rsidRPr="00A256A4" w:rsidP="00A256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0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6A4" w:rsidRPr="002D2AF8" w:rsidP="000F70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TLIX0039 Determine customs value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A256A4" w:rsidP="000F70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70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70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70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70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70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70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70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70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70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70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70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7011"/>
  </w:style>
  <w:style w:type="character" w:customStyle="1" w:styleId="Heading1Char">
    <w:name w:val="Heading 1 Char"/>
    <w:basedOn w:val="DefaultParagraphFont"/>
    <w:link w:val="Heading1"/>
    <w:rsid w:val="000F70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70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701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F7011"/>
    <w:rPr>
      <w:b/>
      <w:spacing w:val="0"/>
    </w:rPr>
  </w:style>
  <w:style w:type="paragraph" w:customStyle="1" w:styleId="SuperHeading">
    <w:name w:val="SuperHeading"/>
    <w:basedOn w:val="Normal"/>
    <w:rsid w:val="000F70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70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F70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70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70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70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70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70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70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70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70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70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70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70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70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70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70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70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70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70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701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F701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F70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70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70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70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701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70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70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70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70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70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70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70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70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70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7011"/>
    <w:rPr>
      <w:i/>
    </w:rPr>
  </w:style>
  <w:style w:type="paragraph" w:styleId="Caption">
    <w:name w:val="caption"/>
    <w:basedOn w:val="BodyText"/>
    <w:next w:val="Normal"/>
    <w:qFormat/>
    <w:rsid w:val="000F70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70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70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7011"/>
  </w:style>
  <w:style w:type="paragraph" w:styleId="TableofFigures">
    <w:name w:val="table of figures"/>
    <w:basedOn w:val="Normal"/>
    <w:next w:val="Normal"/>
    <w:semiHidden/>
    <w:rsid w:val="000F70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701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F7011"/>
    <w:rPr>
      <w:rFonts w:ascii="Wingdings" w:hAnsi="Wingdings"/>
    </w:rPr>
  </w:style>
  <w:style w:type="paragraph" w:customStyle="1" w:styleId="TableHeading">
    <w:name w:val="Table Heading"/>
    <w:basedOn w:val="HeadingBase"/>
    <w:rsid w:val="000F70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7011"/>
    <w:rPr>
      <w:color w:val="0033CC"/>
      <w:u w:val="none"/>
    </w:rPr>
  </w:style>
  <w:style w:type="paragraph" w:customStyle="1" w:styleId="BodyTextRight">
    <w:name w:val="Body Text Right"/>
    <w:basedOn w:val="BodyText"/>
    <w:rsid w:val="000F70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70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701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70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70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70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7011"/>
    <w:rPr>
      <w:sz w:val="32"/>
    </w:rPr>
  </w:style>
  <w:style w:type="paragraph" w:customStyle="1" w:styleId="HeadingProcedure">
    <w:name w:val="Heading Procedure"/>
    <w:basedOn w:val="HeadingBase"/>
    <w:next w:val="Normal"/>
    <w:rsid w:val="000F70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7011"/>
    <w:pPr>
      <w:spacing w:before="60" w:after="60"/>
    </w:pPr>
  </w:style>
  <w:style w:type="paragraph" w:styleId="ListContinue">
    <w:name w:val="List Continue"/>
    <w:basedOn w:val="List"/>
    <w:rsid w:val="000F7011"/>
    <w:pPr>
      <w:ind w:firstLine="0"/>
    </w:pPr>
  </w:style>
  <w:style w:type="paragraph" w:customStyle="1" w:styleId="ListNote">
    <w:name w:val="List Note"/>
    <w:basedOn w:val="List"/>
    <w:rsid w:val="000F70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70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70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7011"/>
    <w:rPr>
      <w:rFonts w:ascii="Courier New" w:hAnsi="Courier New"/>
    </w:rPr>
  </w:style>
  <w:style w:type="paragraph" w:customStyle="1" w:styleId="NoteBullet">
    <w:name w:val="Note Bullet"/>
    <w:basedOn w:val="Note"/>
    <w:rsid w:val="000F70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70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70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70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701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F70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70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7011"/>
    <w:rPr>
      <w:b/>
      <w:smallCaps/>
    </w:rPr>
  </w:style>
  <w:style w:type="paragraph" w:customStyle="1" w:styleId="TableListNumber">
    <w:name w:val="Table List Number"/>
    <w:basedOn w:val="ListNumber"/>
    <w:rsid w:val="000F70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70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7011"/>
    <w:pPr>
      <w:numPr>
        <w:numId w:val="7"/>
      </w:numPr>
    </w:pPr>
  </w:style>
  <w:style w:type="paragraph" w:customStyle="1" w:styleId="ListAlpha2">
    <w:name w:val="List Alpha 2"/>
    <w:basedOn w:val="List2"/>
    <w:rsid w:val="000F7011"/>
    <w:pPr>
      <w:numPr>
        <w:numId w:val="6"/>
      </w:numPr>
    </w:pPr>
  </w:style>
  <w:style w:type="paragraph" w:styleId="List2">
    <w:name w:val="List 2"/>
    <w:basedOn w:val="BodyText"/>
    <w:rsid w:val="000F70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70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70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70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701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701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F7011"/>
    <w:pPr>
      <w:numPr>
        <w:numId w:val="2"/>
      </w:numPr>
    </w:pPr>
  </w:style>
  <w:style w:type="paragraph" w:styleId="ListContinue2">
    <w:name w:val="List Continue 2"/>
    <w:basedOn w:val="List2"/>
    <w:rsid w:val="000F7011"/>
    <w:pPr>
      <w:ind w:firstLine="0"/>
    </w:pPr>
  </w:style>
  <w:style w:type="paragraph" w:styleId="ListContinue3">
    <w:name w:val="List Continue 3"/>
    <w:basedOn w:val="List3"/>
    <w:rsid w:val="000F7011"/>
    <w:pPr>
      <w:ind w:left="1021" w:firstLine="0"/>
    </w:pPr>
  </w:style>
  <w:style w:type="paragraph" w:styleId="ListContinue4">
    <w:name w:val="List Continue 4"/>
    <w:basedOn w:val="List4"/>
    <w:rsid w:val="000F7011"/>
    <w:pPr>
      <w:ind w:firstLine="0"/>
    </w:pPr>
  </w:style>
  <w:style w:type="paragraph" w:styleId="ListContinue5">
    <w:name w:val="List Continue 5"/>
    <w:basedOn w:val="List5"/>
    <w:rsid w:val="000F7011"/>
    <w:pPr>
      <w:ind w:firstLine="0"/>
    </w:pPr>
  </w:style>
  <w:style w:type="paragraph" w:styleId="ListNumber3">
    <w:name w:val="List Number 3"/>
    <w:basedOn w:val="List3"/>
    <w:rsid w:val="000F7011"/>
    <w:pPr>
      <w:numPr>
        <w:numId w:val="3"/>
      </w:numPr>
    </w:pPr>
  </w:style>
  <w:style w:type="paragraph" w:styleId="ListNumber4">
    <w:name w:val="List Number 4"/>
    <w:basedOn w:val="List4"/>
    <w:rsid w:val="000F7011"/>
    <w:pPr>
      <w:numPr>
        <w:numId w:val="4"/>
      </w:numPr>
    </w:pPr>
  </w:style>
  <w:style w:type="paragraph" w:styleId="ListNumber5">
    <w:name w:val="List Number 5"/>
    <w:basedOn w:val="List5"/>
    <w:rsid w:val="000F7011"/>
    <w:pPr>
      <w:numPr>
        <w:numId w:val="5"/>
      </w:numPr>
    </w:pPr>
  </w:style>
  <w:style w:type="paragraph" w:styleId="BlockText">
    <w:name w:val="Block Text"/>
    <w:basedOn w:val="Normal"/>
    <w:rsid w:val="000F70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70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7011"/>
    <w:rPr>
      <w:sz w:val="16"/>
      <w:vertAlign w:val="superscript"/>
    </w:rPr>
  </w:style>
  <w:style w:type="character" w:customStyle="1" w:styleId="Symbols">
    <w:name w:val="Symbols"/>
    <w:basedOn w:val="DefaultParagraphFont"/>
    <w:rsid w:val="000F7011"/>
    <w:rPr>
      <w:rFonts w:ascii="Symbol" w:hAnsi="Symbol"/>
    </w:rPr>
  </w:style>
  <w:style w:type="character" w:customStyle="1" w:styleId="MenuOptions">
    <w:name w:val="Menu Options"/>
    <w:basedOn w:val="DefaultParagraphFont"/>
    <w:rsid w:val="000F70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7011"/>
    <w:rPr>
      <w:b/>
    </w:rPr>
  </w:style>
  <w:style w:type="character" w:customStyle="1" w:styleId="Underlined">
    <w:name w:val="Underlined"/>
    <w:basedOn w:val="DefaultParagraphFont"/>
    <w:rsid w:val="000F7011"/>
    <w:rPr>
      <w:u w:val="single"/>
    </w:rPr>
  </w:style>
  <w:style w:type="paragraph" w:customStyle="1" w:styleId="TableBodyTextRight">
    <w:name w:val="Table Body Text Right"/>
    <w:basedOn w:val="TableBodyText"/>
    <w:rsid w:val="000F70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7011"/>
    <w:rPr>
      <w:sz w:val="18"/>
    </w:rPr>
  </w:style>
  <w:style w:type="paragraph" w:customStyle="1" w:styleId="BodySmallRight">
    <w:name w:val="Body Small Right"/>
    <w:basedOn w:val="BodyTextRight"/>
    <w:rsid w:val="000F7011"/>
    <w:rPr>
      <w:sz w:val="18"/>
      <w:szCs w:val="18"/>
    </w:rPr>
  </w:style>
  <w:style w:type="paragraph" w:customStyle="1" w:styleId="MarginEdition">
    <w:name w:val="Margin Edition"/>
    <w:basedOn w:val="MarginNote"/>
    <w:rsid w:val="000F70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7011"/>
    <w:rPr>
      <w:sz w:val="2"/>
      <w:szCs w:val="2"/>
    </w:rPr>
  </w:style>
  <w:style w:type="character" w:customStyle="1" w:styleId="Small">
    <w:name w:val="Small"/>
    <w:basedOn w:val="DefaultParagraphFont"/>
    <w:rsid w:val="000F7011"/>
    <w:rPr>
      <w:sz w:val="16"/>
    </w:rPr>
  </w:style>
  <w:style w:type="paragraph" w:customStyle="1" w:styleId="WideTable">
    <w:name w:val="Wide Table"/>
    <w:basedOn w:val="Normal"/>
    <w:rsid w:val="000F70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7011"/>
  </w:style>
  <w:style w:type="paragraph" w:styleId="Quote">
    <w:name w:val="Quote"/>
    <w:basedOn w:val="Heading1"/>
    <w:link w:val="QuoteChar"/>
    <w:qFormat/>
    <w:rsid w:val="000F70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70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7011"/>
    <w:pPr>
      <w:pageBreakBefore/>
    </w:pPr>
  </w:style>
  <w:style w:type="paragraph" w:customStyle="1" w:styleId="Border">
    <w:name w:val="Border"/>
    <w:basedOn w:val="Normal"/>
    <w:qFormat/>
    <w:rsid w:val="000F70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70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70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70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70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70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70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70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70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7011"/>
    <w:rPr>
      <w:u w:val="single"/>
    </w:rPr>
  </w:style>
  <w:style w:type="character" w:customStyle="1" w:styleId="BoldandItalics">
    <w:name w:val="Bold and Italics"/>
    <w:qFormat/>
    <w:rsid w:val="000F7011"/>
    <w:rPr>
      <w:b/>
      <w:i/>
      <w:u w:val="none"/>
    </w:rPr>
  </w:style>
  <w:style w:type="paragraph" w:styleId="BalloonText">
    <w:name w:val="Balloon Text"/>
    <w:basedOn w:val="Normal"/>
    <w:link w:val="BalloonTextChar"/>
    <w:rsid w:val="000F70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70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70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70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70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70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7011"/>
    <w:pPr>
      <w:spacing w:before="0" w:after="0"/>
    </w:pPr>
  </w:style>
  <w:style w:type="paragraph" w:customStyle="1" w:styleId="BodyTextBold">
    <w:name w:val="Body Text Bold"/>
    <w:basedOn w:val="BodyText"/>
    <w:qFormat/>
    <w:rsid w:val="000F7011"/>
    <w:rPr>
      <w:b/>
    </w:rPr>
  </w:style>
  <w:style w:type="character" w:styleId="Hyperlink">
    <w:name w:val="Hyperlink"/>
    <w:basedOn w:val="DefaultParagraphFont"/>
    <w:uiPriority w:val="99"/>
    <w:unhideWhenUsed/>
    <w:rsid w:val="00A256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505</Words>
  <Characters>3041</Characters>
  <Application>Microsoft Office Word</Application>
  <DocSecurity>0</DocSecurity>
  <Lines>168</Lines>
  <Paragraphs>86</Paragraphs>
  <ScaleCrop>false</ScaleCrop>
  <Company>Author-it Software Corporation Ltd.</Company>
  <LinksUpToDate>false</LinksUpToDate>
  <CharactersWithSpaces>3460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TLIX0039 Determine customs value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2024-07-12T08:03:00Z</dcterms:created>
  <dcterms:modified xsi:type="dcterms:W3CDTF">2024-07-12T08:03:00Z</dcterms:modified>
</cp:coreProperties>
</file>