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E21" w:rsidP="00645E21">
      <w:pPr>
        <w:pStyle w:val="Title"/>
      </w:pPr>
      <w:r>
        <w:fldChar w:fldCharType="begin"/>
      </w:r>
      <w:r>
        <w:instrText xml:space="preserve"> TITLE   \* MERGEFORMAT </w:instrText>
      </w:r>
      <w:r>
        <w:fldChar w:fldCharType="separate"/>
      </w:r>
      <w:r>
        <w:t>TLIX0039 Determine customs value</w:t>
      </w:r>
      <w:r>
        <w:fldChar w:fldCharType="end"/>
      </w:r>
    </w:p>
    <w:p w:rsidR="00645E21" w:rsidP="00645E21">
      <w:pPr>
        <w:pStyle w:val="Version"/>
        <w:sectPr w:rsidSect="005138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8A0" w:rsidP="005138A0">
      <w:pPr>
        <w:pStyle w:val="SuperHeading"/>
      </w:pPr>
      <w:r w:rsidRPr="005138A0">
        <w:t>TLIX0039 Determine customs value</w:t>
      </w:r>
    </w:p>
    <w:p w:rsidR="00000000" w:rsidRPr="005138A0" w:rsidP="005138A0">
      <w:pPr>
        <w:pStyle w:val="Heading1"/>
      </w:pPr>
      <w:bookmarkStart w:id="1" w:name="O_1232639"/>
      <w:bookmarkEnd w:id="1"/>
      <w:r w:rsidRPr="005138A0">
        <w:t>Modification History</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Release 1</w:t>
            </w:r>
            <w:r w:rsidRPr="005138A0">
              <w:t>. This is the first release of this unit of competency in the TLI Transport and Logistics Training Package.</w:t>
            </w:r>
          </w:p>
        </w:tc>
      </w:tr>
    </w:tbl>
    <w:p w:rsidR="00645E21" w:rsidP="005138A0">
      <w:pPr>
        <w:pStyle w:val="NoPaddingFontSize1"/>
      </w:pPr>
    </w:p>
    <w:p w:rsidR="00645E21" w:rsidP="005138A0">
      <w:pPr>
        <w:pStyle w:val="NoPaddingFontSize1"/>
      </w:pPr>
    </w:p>
    <w:p w:rsidR="00000000" w:rsidRPr="005138A0" w:rsidP="005138A0">
      <w:pPr>
        <w:pStyle w:val="Heading1"/>
      </w:pPr>
      <w:bookmarkStart w:id="2" w:name="O_1232640"/>
      <w:bookmarkEnd w:id="2"/>
      <w:r w:rsidRPr="005138A0">
        <w:t>Application</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 xml:space="preserve">This unit involves the skills and knowledge required to carry out customs valuation </w:t>
            </w:r>
            <w:r w:rsidRPr="005138A0">
              <w:t>using the transaction value method only, for the purpose of determining the customs value.</w:t>
            </w:r>
          </w:p>
          <w:p w:rsidR="00000000" w:rsidRPr="005138A0" w:rsidP="005138A0">
            <w:pPr>
              <w:pStyle w:val="BodyText"/>
            </w:pPr>
            <w:r w:rsidRPr="005138A0">
              <w:t>This unit applies to individuals working as a customs broker. Work must be carried out in compliance with the Customs Act as amended and related case law and workpla</w:t>
            </w:r>
            <w:r w:rsidRPr="005138A0">
              <w:t>ce requirements concerning customs valuation functions.</w:t>
            </w:r>
          </w:p>
          <w:p w:rsidR="00000000" w:rsidRPr="005138A0" w:rsidP="005138A0">
            <w:pPr>
              <w:pStyle w:val="BodyText"/>
            </w:pPr>
            <w:r w:rsidRPr="005138A0">
              <w:t xml:space="preserve">Work is undertaken in a range of environments, including small to large worksites, in the customs broking and international supply chain industries. </w:t>
            </w:r>
          </w:p>
          <w:p w:rsidR="00000000" w:rsidRPr="005138A0" w:rsidP="005138A0">
            <w:pPr>
              <w:pStyle w:val="BodyText"/>
            </w:pPr>
            <w:r w:rsidRPr="005138A0">
              <w:t>No licensing, legislative or certification require</w:t>
            </w:r>
            <w:r w:rsidRPr="005138A0">
              <w:t>ments apply to this unit at the time of publication.</w:t>
            </w:r>
          </w:p>
        </w:tc>
      </w:tr>
    </w:tbl>
    <w:p w:rsidR="00645E21" w:rsidP="005138A0">
      <w:pPr>
        <w:pStyle w:val="NoPaddingFontSize1"/>
      </w:pPr>
    </w:p>
    <w:p w:rsidR="00645E21" w:rsidP="005138A0">
      <w:pPr>
        <w:pStyle w:val="NoPaddingFontSize1"/>
      </w:pPr>
    </w:p>
    <w:p w:rsidR="00000000" w:rsidRPr="005138A0" w:rsidP="005138A0">
      <w:pPr>
        <w:pStyle w:val="Heading1"/>
      </w:pPr>
      <w:bookmarkStart w:id="3" w:name="O_1232641"/>
      <w:bookmarkEnd w:id="3"/>
      <w:r w:rsidRPr="005138A0">
        <w:t>Pre-requisite Unit</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Not applicable.</w:t>
            </w:r>
          </w:p>
        </w:tc>
      </w:tr>
    </w:tbl>
    <w:p w:rsidR="00645E21" w:rsidP="005138A0">
      <w:pPr>
        <w:pStyle w:val="NoPaddingFontSize1"/>
      </w:pPr>
    </w:p>
    <w:p w:rsidR="00645E21" w:rsidP="005138A0">
      <w:pPr>
        <w:pStyle w:val="NoPaddingFontSize1"/>
      </w:pPr>
    </w:p>
    <w:p w:rsidR="00000000" w:rsidRPr="005138A0" w:rsidP="005138A0">
      <w:pPr>
        <w:pStyle w:val="Heading1"/>
      </w:pPr>
      <w:bookmarkStart w:id="4" w:name="O_1232642"/>
      <w:bookmarkEnd w:id="4"/>
      <w:r w:rsidRPr="005138A0">
        <w:t>Competency Field</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X – Logistics</w:t>
            </w:r>
          </w:p>
        </w:tc>
      </w:tr>
    </w:tbl>
    <w:p w:rsidR="00645E21" w:rsidP="005138A0">
      <w:pPr>
        <w:pStyle w:val="NoPaddingFontSize1"/>
      </w:pPr>
    </w:p>
    <w:p w:rsidR="00645E21" w:rsidP="005138A0">
      <w:pPr>
        <w:pStyle w:val="NoPaddingFontSize1"/>
      </w:pPr>
    </w:p>
    <w:p w:rsidR="00000000" w:rsidRPr="005138A0" w:rsidP="005138A0">
      <w:pPr>
        <w:pStyle w:val="Heading1"/>
      </w:pPr>
      <w:bookmarkStart w:id="5" w:name="O_1232643"/>
      <w:bookmarkEnd w:id="5"/>
      <w:r w:rsidRPr="005138A0">
        <w:t>Unit Sector</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Customs Broking.</w:t>
            </w:r>
          </w:p>
        </w:tc>
      </w:tr>
    </w:tbl>
    <w:p w:rsidR="00645E21" w:rsidP="005138A0">
      <w:pPr>
        <w:pStyle w:val="NoPaddingFontSize1"/>
      </w:pPr>
    </w:p>
    <w:p w:rsidR="00645E21" w:rsidP="005138A0">
      <w:pPr>
        <w:pStyle w:val="NoPaddingFontSize1"/>
      </w:pPr>
    </w:p>
    <w:p w:rsidR="00000000" w:rsidRPr="005138A0" w:rsidP="005138A0">
      <w:pPr>
        <w:pStyle w:val="Heading1"/>
      </w:pPr>
      <w:bookmarkStart w:id="6" w:name="O_1232644"/>
      <w:bookmarkEnd w:id="6"/>
      <w:r w:rsidRPr="005138A0">
        <w:t>Elements and Performance Criteria</w:t>
      </w:r>
    </w:p>
    <w:tbl>
      <w:tblPr>
        <w:tblW w:w="0" w:type="auto"/>
        <w:tblLayout w:type="fixed"/>
        <w:tblCellMar>
          <w:left w:w="62" w:type="dxa"/>
          <w:right w:w="62" w:type="dxa"/>
        </w:tblCellMar>
        <w:tblLook w:val="0000"/>
      </w:tblPr>
      <w:tblGrid>
        <w:gridCol w:w="425"/>
        <w:gridCol w:w="1595"/>
        <w:gridCol w:w="608"/>
        <w:gridCol w:w="3133"/>
        <w:gridCol w:w="2997"/>
        <w:gridCol w:w="371"/>
      </w:tblGrid>
      <w:tr w:rsidTr="005138A0">
        <w:tblPrEx>
          <w:tblW w:w="0" w:type="auto"/>
          <w:tblLayout w:type="fixed"/>
          <w:tblCellMar>
            <w:left w:w="62" w:type="dxa"/>
            <w:right w:w="62" w:type="dxa"/>
          </w:tblCellMar>
          <w:tblLook w:val="0000"/>
        </w:tblPrEx>
        <w:tc>
          <w:tcPr>
            <w:tcW w:w="5761" w:type="dxa"/>
            <w:gridSpan w:val="4"/>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ELEMENTS</w:t>
            </w:r>
          </w:p>
        </w:tc>
        <w:tc>
          <w:tcPr>
            <w:tcW w:w="3368"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PERFORMANCE CRITERIA</w:t>
            </w:r>
          </w:p>
        </w:tc>
      </w:tr>
      <w:tr w:rsidTr="005138A0">
        <w:tblPrEx>
          <w:tblW w:w="0" w:type="auto"/>
          <w:tblLayout w:type="fixed"/>
          <w:tblCellMar>
            <w:left w:w="62" w:type="dxa"/>
            <w:right w:w="62" w:type="dxa"/>
          </w:tblCellMar>
          <w:tblLook w:val="0000"/>
        </w:tblPrEx>
        <w:tc>
          <w:tcPr>
            <w:tcW w:w="5761" w:type="dxa"/>
            <w:gridSpan w:val="4"/>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Elements describe the essential outcomes.</w:t>
            </w:r>
          </w:p>
        </w:tc>
        <w:tc>
          <w:tcPr>
            <w:tcW w:w="3368"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Performance criteria describe the performance needed to demonstrate achievement of the element.</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1</w:t>
            </w:r>
          </w:p>
        </w:tc>
        <w:tc>
          <w:tcPr>
            <w:tcW w:w="1595"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 xml:space="preserve">Determine valuation </w:t>
            </w:r>
            <w:r w:rsidRPr="005138A0">
              <w:rPr>
                <w:rStyle w:val="SpecialBold"/>
              </w:rPr>
              <w:t>method to be applied</w:t>
            </w: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1.1</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 xml:space="preserve">World Trade Organization (WTO) Customs Valuation Agreement is reviewed </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1.2</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Valuation provisions are applied in accordance with the Customs Act as amended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1.3</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 xml:space="preserve">Situations when transaction valuation method applies are recognised </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1.4</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Situations when transaction value is not applicable are recognised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1.5</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Situations when there is insufficient reliable information to apply transaction valuation method are identified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1.6</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Price is determined from import documentation in accordance with the Customs Act as amended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2</w:t>
            </w:r>
          </w:p>
        </w:tc>
        <w:tc>
          <w:tcPr>
            <w:tcW w:w="1595"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Identify import sales transaction for customs valuation purposes</w:t>
            </w: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2.1</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Relevant import sales transaction is identified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2.2</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 xml:space="preserve">Any relationship between owner and </w:t>
            </w:r>
            <w:r w:rsidRPr="005138A0">
              <w:t>supplier is determined and any impact of relationship on customs valuation is managed in accordance with the Customs Act as amended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3</w:t>
            </w:r>
          </w:p>
        </w:tc>
        <w:tc>
          <w:tcPr>
            <w:tcW w:w="1595"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Determine transaction value</w:t>
            </w: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3.1</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Price in import sales transaction is identified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3.2</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The terms of trade relevant to the import sales transaction are identified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3.3</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Adjusted price is calculated in accordance with the Customs Act as amended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3.4</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Price-related costs and any other additions or deductions to adjusted price are made in ac</w:t>
            </w:r>
            <w:r w:rsidRPr="005138A0">
              <w:t xml:space="preserve">cordance with the Customs Act as amended </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3.5</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Transaction value is calculated</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4</w:t>
            </w:r>
          </w:p>
        </w:tc>
        <w:tc>
          <w:tcPr>
            <w:tcW w:w="1595"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Determine customs value</w:t>
            </w: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4.1</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 xml:space="preserve">Date and place of export are determined in accordance with Customs Act as amended </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4.2</w:t>
            </w:r>
          </w:p>
        </w:tc>
        <w:tc>
          <w:tcPr>
            <w:tcW w:w="6130" w:type="dxa"/>
            <w:gridSpan w:val="2"/>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 xml:space="preserve">Date of valuation is identified </w:t>
            </w:r>
          </w:p>
        </w:tc>
      </w:tr>
      <w:tr w:rsidTr="005138A0">
        <w:tblPrEx>
          <w:tblW w:w="0" w:type="auto"/>
          <w:tblLayout w:type="fixed"/>
          <w:tblCellMar>
            <w:left w:w="62" w:type="dxa"/>
            <w:right w:w="62" w:type="dxa"/>
          </w:tblCellMar>
          <w:tblLook w:val="0000"/>
        </w:tblPrEx>
        <w:trPr>
          <w:gridAfter w:val="1"/>
          <w:wAfter w:w="371" w:type="dxa"/>
        </w:trPr>
        <w:tc>
          <w:tcPr>
            <w:tcW w:w="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595" w:type="dxa"/>
            <w:tcBorders>
              <w:top w:val="nil"/>
              <w:left w:val="nil"/>
              <w:bottom w:val="nil"/>
              <w:right w:val="nil"/>
            </w:tcBorders>
            <w:tcMar>
              <w:top w:w="0" w:type="dxa"/>
              <w:left w:w="62" w:type="dxa"/>
              <w:bottom w:w="0" w:type="dxa"/>
              <w:right w:w="62" w:type="dxa"/>
            </w:tcMar>
          </w:tcPr>
          <w:p w:rsidR="00000000" w:rsidRPr="005138A0">
            <w:pPr>
              <w:pStyle w:val="BodyText"/>
              <w:keepLines w:val="0"/>
              <w:spacing w:before="0" w:after="0"/>
            </w:pPr>
          </w:p>
        </w:tc>
        <w:tc>
          <w:tcPr>
            <w:tcW w:w="608"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rPr>
                <w:rStyle w:val="SpecialBold"/>
              </w:rPr>
              <w:t>4.3</w:t>
            </w:r>
          </w:p>
        </w:tc>
        <w:tc>
          <w:tcPr>
            <w:tcW w:w="6130" w:type="dxa"/>
            <w:gridSpan w:val="2"/>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 xml:space="preserve">Customs value is calculated using appropriate rate of currency exchange </w:t>
            </w:r>
          </w:p>
        </w:tc>
      </w:tr>
    </w:tbl>
    <w:p w:rsidR="00645E21" w:rsidP="005138A0">
      <w:pPr>
        <w:pStyle w:val="NoPaddingFontSize1"/>
      </w:pPr>
    </w:p>
    <w:p w:rsidR="00645E21" w:rsidP="005138A0">
      <w:pPr>
        <w:pStyle w:val="NoPaddingFontSize1"/>
      </w:pPr>
    </w:p>
    <w:p w:rsidR="00000000" w:rsidRPr="005138A0" w:rsidP="005138A0">
      <w:pPr>
        <w:pStyle w:val="Heading1"/>
      </w:pPr>
      <w:bookmarkStart w:id="7" w:name="O_1232645"/>
      <w:bookmarkEnd w:id="7"/>
      <w:r w:rsidRPr="005138A0">
        <w:t>Foundation Skills</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Foundation skills essential to performance are explicit in the performance criteria of this unit of competency.</w:t>
            </w:r>
          </w:p>
        </w:tc>
      </w:tr>
    </w:tbl>
    <w:p w:rsidR="00645E21" w:rsidP="005138A0">
      <w:pPr>
        <w:pStyle w:val="NoPaddingFontSize1"/>
      </w:pPr>
    </w:p>
    <w:p w:rsidR="00645E21" w:rsidP="005138A0">
      <w:pPr>
        <w:pStyle w:val="NoPaddingFontSize1"/>
      </w:pPr>
    </w:p>
    <w:p w:rsidR="00000000" w:rsidRPr="005138A0" w:rsidP="005138A0">
      <w:pPr>
        <w:pStyle w:val="Heading1"/>
      </w:pPr>
      <w:bookmarkStart w:id="8" w:name="O_1232646"/>
      <w:bookmarkEnd w:id="8"/>
      <w:r w:rsidRPr="005138A0">
        <w:t>Range of Conditions</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Range is restricted to essential operating conditions and any other variables essential to the work environment.</w:t>
            </w:r>
          </w:p>
          <w:p w:rsidR="00000000" w:rsidRPr="005138A0" w:rsidP="005138A0">
            <w:pPr>
              <w:pStyle w:val="BodyText"/>
            </w:pPr>
            <w:r w:rsidRPr="005138A0">
              <w:t>Non-essential conditions can be found in the TLI Transport and Logistics Training Package Companion Volume Implementation G</w:t>
            </w:r>
            <w:r w:rsidRPr="005138A0">
              <w:t>uide.</w:t>
            </w:r>
          </w:p>
        </w:tc>
      </w:tr>
    </w:tbl>
    <w:p w:rsidR="00645E21" w:rsidP="005138A0">
      <w:pPr>
        <w:pStyle w:val="NoPaddingFontSize1"/>
      </w:pPr>
    </w:p>
    <w:p w:rsidR="00645E21" w:rsidP="005138A0">
      <w:pPr>
        <w:pStyle w:val="NoPaddingFontSize1"/>
      </w:pPr>
    </w:p>
    <w:p w:rsidR="00000000" w:rsidRPr="005138A0" w:rsidP="005138A0">
      <w:pPr>
        <w:pStyle w:val="Heading1"/>
      </w:pPr>
      <w:bookmarkStart w:id="9" w:name="O_1232647"/>
      <w:bookmarkEnd w:id="9"/>
      <w:r w:rsidRPr="005138A0">
        <w:t>Unit Mapping Information</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This unit replaces but is not equivalent to TLIX5047 Determine customs value.</w:t>
            </w:r>
          </w:p>
        </w:tc>
      </w:tr>
    </w:tbl>
    <w:p w:rsidR="00645E21" w:rsidP="005138A0">
      <w:pPr>
        <w:pStyle w:val="NoPaddingFontSize1"/>
      </w:pPr>
    </w:p>
    <w:p w:rsidR="00645E21" w:rsidP="005138A0">
      <w:pPr>
        <w:pStyle w:val="NoPaddingFontSize1"/>
      </w:pPr>
    </w:p>
    <w:p w:rsidR="00000000" w:rsidRPr="005138A0" w:rsidP="005138A0">
      <w:pPr>
        <w:pStyle w:val="Heading1"/>
      </w:pPr>
      <w:bookmarkStart w:id="10" w:name="O_1232654"/>
      <w:bookmarkEnd w:id="10"/>
      <w:r w:rsidRPr="005138A0">
        <w:t>Links</w:t>
      </w:r>
    </w:p>
    <w:p w:rsidR="00000000" w:rsidRPr="005138A0" w:rsidP="00645E21">
      <w:pPr>
        <w:pStyle w:val="BodyText"/>
      </w:pPr>
      <w:r w:rsidRPr="005138A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E7541">
        <w:rPr>
          <w:rStyle w:val="Hyperlink"/>
        </w:rPr>
        <w:t>https://vetnet.gov.au/Pages/TrainingDocs.aspx?q=df441c6e-213d-43e3-874c-0b3f7036d851</w:t>
      </w:r>
      <w:r>
        <w:fldChar w:fldCharType="end"/>
      </w:r>
    </w:p>
    <w:p w:rsidR="00000000" w:rsidRPr="005138A0" w:rsidP="00645E21">
      <w:pPr>
        <w:pStyle w:val="BodyText"/>
        <w:sectPr w:rsidSect="005138A0">
          <w:headerReference w:type="default" r:id="rId10"/>
          <w:footerReference w:type="default" r:id="rId11"/>
          <w:pgSz w:w="11908" w:h="16833"/>
          <w:pgMar w:top="1702" w:right="1418" w:bottom="1702" w:left="1418" w:header="992" w:footer="992" w:gutter="0"/>
          <w:cols w:space="720"/>
          <w:noEndnote/>
          <w:docGrid w:linePitch="299"/>
        </w:sectPr>
      </w:pPr>
    </w:p>
    <w:p w:rsidR="00000000" w:rsidRPr="005138A0" w:rsidP="005138A0">
      <w:pPr>
        <w:pStyle w:val="SuperHeading"/>
      </w:pPr>
      <w:r w:rsidRPr="005138A0">
        <w:t>Assessment Requirements for TLIX0039 Determine customs value</w:t>
      </w:r>
    </w:p>
    <w:p w:rsidR="00000000" w:rsidRPr="005138A0" w:rsidP="005138A0">
      <w:pPr>
        <w:pStyle w:val="Heading1"/>
      </w:pPr>
      <w:bookmarkStart w:id="11" w:name="O_1232649"/>
      <w:bookmarkEnd w:id="11"/>
      <w:r w:rsidRPr="005138A0">
        <w:t>Modification History</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rPr>
                <w:rStyle w:val="SpecialBold"/>
              </w:rPr>
              <w:t>Release 1</w:t>
            </w:r>
            <w:r w:rsidRPr="005138A0">
              <w:t>. This is the first release of this unit of competency in the TLI Transport and Logistics Training Package.</w:t>
            </w:r>
          </w:p>
        </w:tc>
      </w:tr>
    </w:tbl>
    <w:p w:rsidR="00645E21" w:rsidP="005138A0">
      <w:pPr>
        <w:pStyle w:val="NoPaddingFontSize1"/>
      </w:pPr>
    </w:p>
    <w:p w:rsidR="00645E21" w:rsidP="005138A0">
      <w:pPr>
        <w:pStyle w:val="NoPaddingFontSize1"/>
      </w:pPr>
    </w:p>
    <w:p w:rsidR="00000000" w:rsidRPr="005138A0" w:rsidP="005138A0">
      <w:pPr>
        <w:pStyle w:val="Heading1"/>
      </w:pPr>
      <w:bookmarkStart w:id="12" w:name="O_1232650"/>
      <w:bookmarkEnd w:id="12"/>
      <w:r w:rsidRPr="005138A0">
        <w:t>Performance Evidence</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Evidence required to demonstrate competence in this unit must be relevant to and satisfy all of the requirements of the elements and performance criteria on at least one occasion and include:</w:t>
            </w:r>
          </w:p>
        </w:tc>
      </w:tr>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ListBullet"/>
            </w:pPr>
            <w:r w:rsidRPr="005138A0">
              <w:t xml:space="preserve">accurately calculating the duty payable </w:t>
            </w:r>
          </w:p>
          <w:p w:rsidR="00000000" w:rsidRPr="005138A0" w:rsidP="005138A0">
            <w:pPr>
              <w:pStyle w:val="ListBullet"/>
            </w:pPr>
            <w:r w:rsidRPr="005138A0">
              <w:t>analysing information</w:t>
            </w:r>
            <w:r w:rsidRPr="005138A0">
              <w:t xml:space="preserve"> for valuation purposes</w:t>
            </w:r>
          </w:p>
          <w:p w:rsidR="00000000" w:rsidRPr="005138A0" w:rsidP="005138A0">
            <w:pPr>
              <w:pStyle w:val="ListBullet"/>
            </w:pPr>
            <w:r w:rsidRPr="005138A0">
              <w:t>calculating adjusted price</w:t>
            </w:r>
          </w:p>
          <w:p w:rsidR="00000000" w:rsidRPr="005138A0" w:rsidP="005138A0">
            <w:pPr>
              <w:pStyle w:val="ListBullet"/>
            </w:pPr>
            <w:r w:rsidRPr="005138A0">
              <w:t>calculating customs value</w:t>
            </w:r>
          </w:p>
          <w:p w:rsidR="00000000" w:rsidRPr="005138A0" w:rsidP="005138A0">
            <w:pPr>
              <w:pStyle w:val="ListBullet"/>
            </w:pPr>
            <w:r w:rsidRPr="005138A0">
              <w:t>determining price and adjusted price</w:t>
            </w:r>
          </w:p>
          <w:p w:rsidR="00000000" w:rsidRPr="005138A0" w:rsidP="005138A0">
            <w:pPr>
              <w:pStyle w:val="ListBullet"/>
            </w:pPr>
            <w:r w:rsidRPr="005138A0">
              <w:t xml:space="preserve">determining the transaction value </w:t>
            </w:r>
          </w:p>
          <w:p w:rsidR="00000000" w:rsidRPr="005138A0" w:rsidP="005138A0">
            <w:pPr>
              <w:pStyle w:val="ListBullet"/>
            </w:pPr>
            <w:r w:rsidRPr="005138A0">
              <w:t xml:space="preserve">identifying price-related costs </w:t>
            </w:r>
          </w:p>
          <w:p w:rsidR="00000000" w:rsidRPr="005138A0" w:rsidP="005138A0">
            <w:pPr>
              <w:pStyle w:val="ListBullet"/>
            </w:pPr>
            <w:r w:rsidRPr="005138A0">
              <w:t>identifying relevant import sales transaction for customs valuation purposes.</w:t>
            </w:r>
          </w:p>
        </w:tc>
      </w:tr>
    </w:tbl>
    <w:p w:rsidR="00645E21" w:rsidP="005138A0">
      <w:pPr>
        <w:pStyle w:val="NoPaddingFontSize1"/>
      </w:pPr>
    </w:p>
    <w:p w:rsidR="00645E21" w:rsidP="005138A0">
      <w:pPr>
        <w:pStyle w:val="NoPaddingFontSize1"/>
      </w:pPr>
    </w:p>
    <w:p w:rsidR="00000000" w:rsidRPr="005138A0" w:rsidP="005138A0">
      <w:pPr>
        <w:pStyle w:val="Heading1"/>
      </w:pPr>
      <w:bookmarkStart w:id="13" w:name="O_1232651"/>
      <w:bookmarkEnd w:id="13"/>
      <w:r w:rsidRPr="005138A0">
        <w:t>Knowledge Evidence</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8A0">
            <w:pPr>
              <w:pStyle w:val="BodyText"/>
              <w:rPr>
                <w:lang w:val="en-NZ"/>
              </w:rPr>
            </w:pPr>
            <w:r w:rsidRPr="005138A0">
              <w:t>Evidence required to demonstrate competence in this unit must be relevant to and satisfy all of the requirements of the elements and perf</w:t>
            </w:r>
            <w:r w:rsidRPr="005138A0">
              <w:t>ormance criteria and include knowledge of:</w:t>
            </w:r>
          </w:p>
        </w:tc>
      </w:tr>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ListBullet"/>
            </w:pPr>
            <w:r w:rsidRPr="005138A0">
              <w:t xml:space="preserve">alternative valuation methods </w:t>
            </w:r>
          </w:p>
          <w:p w:rsidR="00000000" w:rsidRPr="005138A0" w:rsidP="005138A0">
            <w:pPr>
              <w:pStyle w:val="ListBullet"/>
            </w:pPr>
            <w:r w:rsidRPr="005138A0">
              <w:t xml:space="preserve">date and place of export </w:t>
            </w:r>
          </w:p>
          <w:p w:rsidR="00000000" w:rsidRPr="005138A0" w:rsidP="005138A0">
            <w:pPr>
              <w:pStyle w:val="ListBullet"/>
            </w:pPr>
            <w:r w:rsidRPr="005138A0">
              <w:t xml:space="preserve">date of valuation </w:t>
            </w:r>
          </w:p>
          <w:p w:rsidR="00000000" w:rsidRPr="005138A0" w:rsidP="005138A0">
            <w:pPr>
              <w:pStyle w:val="ListBullet"/>
            </w:pPr>
            <w:r w:rsidRPr="005138A0">
              <w:t>factorisation of costs against goods</w:t>
            </w:r>
          </w:p>
          <w:p w:rsidR="00000000" w:rsidRPr="005138A0" w:rsidP="005138A0">
            <w:pPr>
              <w:pStyle w:val="ListBullet"/>
            </w:pPr>
            <w:r w:rsidRPr="005138A0">
              <w:t>price-related costs</w:t>
            </w:r>
          </w:p>
          <w:p w:rsidR="00000000" w:rsidRPr="005138A0" w:rsidP="005138A0">
            <w:pPr>
              <w:pStyle w:val="ListBullet"/>
            </w:pPr>
            <w:r w:rsidRPr="005138A0">
              <w:t>problems that may arise when determining customs valuations.</w:t>
            </w:r>
          </w:p>
          <w:p w:rsidR="00000000" w:rsidRPr="005138A0" w:rsidP="005138A0">
            <w:pPr>
              <w:pStyle w:val="ListBullet"/>
            </w:pPr>
            <w:r w:rsidRPr="005138A0">
              <w:t>rebates</w:t>
            </w:r>
          </w:p>
          <w:p w:rsidR="00000000" w:rsidRPr="005138A0" w:rsidP="005138A0">
            <w:pPr>
              <w:pStyle w:val="ListBullet"/>
            </w:pPr>
            <w:r w:rsidRPr="005138A0">
              <w:t>valuation provisions in accordance with Customs Act</w:t>
            </w:r>
          </w:p>
          <w:p w:rsidR="00000000" w:rsidRPr="005138A0" w:rsidP="005138A0">
            <w:pPr>
              <w:pStyle w:val="ListBullet"/>
            </w:pPr>
            <w:r w:rsidRPr="005138A0">
              <w:t>World Trade Organization (WTO) Customs Valuation Agreement.</w:t>
            </w:r>
          </w:p>
        </w:tc>
      </w:tr>
    </w:tbl>
    <w:p w:rsidR="00645E21" w:rsidP="005138A0">
      <w:pPr>
        <w:pStyle w:val="NoPaddingFontSize1"/>
      </w:pPr>
    </w:p>
    <w:p w:rsidR="00645E21" w:rsidP="005138A0">
      <w:pPr>
        <w:pStyle w:val="NoPaddingFontSize1"/>
      </w:pPr>
    </w:p>
    <w:p w:rsidR="00000000" w:rsidRPr="005138A0" w:rsidP="005138A0">
      <w:pPr>
        <w:pStyle w:val="Heading1"/>
      </w:pPr>
      <w:bookmarkStart w:id="14" w:name="O_1232652"/>
      <w:bookmarkEnd w:id="14"/>
      <w:r w:rsidRPr="005138A0">
        <w:t>Assessment Conditions</w:t>
      </w:r>
    </w:p>
    <w:tbl>
      <w:tblPr>
        <w:tblW w:w="9497" w:type="dxa"/>
        <w:tblLayout w:type="fixed"/>
        <w:tblCellMar>
          <w:left w:w="62" w:type="dxa"/>
          <w:right w:w="62" w:type="dxa"/>
        </w:tblCellMar>
        <w:tblLook w:val="0000"/>
      </w:tblPr>
      <w:tblGrid>
        <w:gridCol w:w="9497"/>
      </w:tblGrid>
      <w:tr w:rsidTr="00513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8A0" w:rsidP="005138A0">
            <w:pPr>
              <w:pStyle w:val="BodyText"/>
            </w:pPr>
            <w:r w:rsidRPr="005138A0">
              <w:t xml:space="preserve">Assessors must hold credentials specified within the Standards for Registered Training Organisations current at the time of assessment. </w:t>
            </w:r>
          </w:p>
          <w:p w:rsidR="00000000" w:rsidRPr="005138A0" w:rsidP="005138A0">
            <w:pPr>
              <w:pStyle w:val="BodyText"/>
            </w:pPr>
            <w:r w:rsidRPr="005138A0">
              <w:t>Assessment must satisfy the Principles of Assessment and Rules of Evidence and all regulatory requirements included wit</w:t>
            </w:r>
            <w:r w:rsidRPr="005138A0">
              <w:t>hin the Standards for Registered Training Organisations current at the time of assessment.</w:t>
            </w:r>
          </w:p>
          <w:p w:rsidR="00000000" w:rsidRPr="005138A0" w:rsidP="005138A0">
            <w:pPr>
              <w:pStyle w:val="BodyText"/>
            </w:pPr>
            <w:r w:rsidRPr="005138A0">
              <w:t>Assessment must occur in workplace operational situations where it is appropriate to do so; where this is not appropriate, assessment must occur in simulated workpla</w:t>
            </w:r>
            <w:r w:rsidRPr="005138A0">
              <w:t>ce operational situations that replicate workplace conditions.</w:t>
            </w:r>
          </w:p>
          <w:p w:rsidR="00000000" w:rsidRPr="005138A0" w:rsidP="005138A0">
            <w:pPr>
              <w:pStyle w:val="BodyText"/>
            </w:pPr>
            <w:r w:rsidRPr="005138A0">
              <w:t>Assessment processes and techniques must be appropriate to the language, literacy and numeracy requirements of the work being performed and the needs of the candidate.</w:t>
            </w:r>
          </w:p>
          <w:p w:rsidR="00000000" w:rsidRPr="005138A0" w:rsidP="005138A0">
            <w:pPr>
              <w:pStyle w:val="BodyText"/>
            </w:pPr>
            <w:r w:rsidRPr="005138A0">
              <w:t xml:space="preserve">Resources for assessment </w:t>
            </w:r>
            <w:r w:rsidRPr="005138A0">
              <w:t>must include access to:</w:t>
            </w:r>
          </w:p>
          <w:p w:rsidR="00000000" w:rsidRPr="005138A0" w:rsidP="005138A0">
            <w:pPr>
              <w:pStyle w:val="ListBullet"/>
            </w:pPr>
            <w:r w:rsidRPr="005138A0">
              <w:t>a range of relevant exercises, case studies and/or simulations</w:t>
            </w:r>
          </w:p>
          <w:p w:rsidR="00000000" w:rsidRPr="005138A0" w:rsidP="005138A0">
            <w:pPr>
              <w:pStyle w:val="ListBullet"/>
            </w:pPr>
            <w:r w:rsidRPr="005138A0">
              <w:t>applicable documentation including workplace procedures, regulations, codes of practice and operation manuals.</w:t>
            </w:r>
          </w:p>
        </w:tc>
      </w:tr>
    </w:tbl>
    <w:p w:rsidR="00645E21" w:rsidP="005138A0">
      <w:pPr>
        <w:pStyle w:val="NoPaddingFontSize1"/>
      </w:pPr>
    </w:p>
    <w:p w:rsidR="00645E21" w:rsidP="005138A0">
      <w:pPr>
        <w:pStyle w:val="NoPaddingFontSize1"/>
      </w:pPr>
    </w:p>
    <w:p w:rsidR="00000000" w:rsidRPr="005138A0" w:rsidP="005138A0">
      <w:pPr>
        <w:pStyle w:val="Heading1"/>
      </w:pPr>
      <w:bookmarkStart w:id="15" w:name="O_1232655"/>
      <w:bookmarkEnd w:id="15"/>
      <w:r w:rsidRPr="005138A0">
        <w:t>Links</w:t>
      </w:r>
    </w:p>
    <w:p w:rsidR="00000000" w:rsidRPr="005138A0" w:rsidP="00645E21">
      <w:pPr>
        <w:pStyle w:val="BodyText"/>
      </w:pPr>
      <w:r w:rsidRPr="005138A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E7541">
        <w:rPr>
          <w:rStyle w:val="Hyperlink"/>
        </w:rPr>
        <w:t>https://vetnet.gov.au/Pages/TrainingDocs.aspx?q=df441c6e-213d-43e3-874c-0b3f7036d851</w:t>
      </w:r>
      <w:r>
        <w:fldChar w:fldCharType="end"/>
      </w:r>
    </w:p>
    <w:p w:rsidR="00000000" w:rsidRPr="005138A0" w:rsidP="005138A0"/>
    <w:sectPr w:rsidSect="005138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A0" w:rsidRPr="00645E21" w:rsidP="00645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21" w:rsidP="00513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5E21" w:rsidP="005138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45E21" w:rsidP="005138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A0" w:rsidP="005138A0">
    <w:pPr>
      <w:pStyle w:val="Footer"/>
      <w:framePr w:wrap="around"/>
    </w:pPr>
    <w:r>
      <w:fldChar w:fldCharType="begin"/>
    </w:r>
    <w:r>
      <w:instrText xml:space="preserve"> DOCPROPERTY  Subject  \* MERGEFORMAT </w:instrText>
    </w:r>
    <w:r>
      <w:fldChar w:fldCharType="separate"/>
    </w:r>
    <w:r w:rsidR="00645E21">
      <w:t>Approved</w:t>
    </w:r>
    <w:r w:rsidR="00645E21">
      <w:fldChar w:fldCharType="end"/>
    </w:r>
    <w:r>
      <w:tab/>
      <w:t xml:space="preserve">Page </w:t>
    </w:r>
    <w:r>
      <w:fldChar w:fldCharType="begin"/>
    </w:r>
    <w:r>
      <w:instrText xml:space="preserve"> PAGE  \* Arabic  \* MERGEFORMAT </w:instrText>
    </w:r>
    <w:r>
      <w:fldChar w:fldCharType="separate"/>
    </w:r>
    <w:r w:rsidR="00645E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5E21">
      <w:rPr>
        <w:noProof/>
      </w:rPr>
      <w:t>4</w:t>
    </w:r>
    <w:r>
      <w:rPr>
        <w:noProof/>
      </w:rPr>
      <w:fldChar w:fldCharType="end"/>
    </w:r>
  </w:p>
  <w:p w:rsidR="005138A0" w:rsidP="005138A0">
    <w:pPr>
      <w:pStyle w:val="Footer"/>
      <w:framePr w:wrap="around"/>
    </w:pPr>
    <w:r>
      <w:t xml:space="preserve">© Commonwealth of Australia, </w:t>
    </w:r>
    <w:r>
      <w:fldChar w:fldCharType="begin"/>
    </w:r>
    <w:r>
      <w:instrText xml:space="preserve"> DATE  \@ "yyyy"  \* MERGEFORMAT </w:instrText>
    </w:r>
    <w:r>
      <w:fldChar w:fldCharType="separate"/>
    </w:r>
    <w:r w:rsidR="00645E21">
      <w:rPr>
        <w:noProof/>
      </w:rPr>
      <w:t>2025</w:t>
    </w:r>
    <w:r>
      <w:fldChar w:fldCharType="end"/>
    </w:r>
    <w:r>
      <w:tab/>
    </w:r>
    <w:r>
      <w:fldChar w:fldCharType="begin"/>
    </w:r>
    <w:r>
      <w:instrText xml:space="preserve"> DOCPROPERTY  Author  \* MERGEFORMAT </w:instrText>
    </w:r>
    <w:r>
      <w:fldChar w:fldCharType="separate"/>
    </w:r>
    <w:r w:rsidR="00645E21">
      <w:t>Industry Skills Australia</w:t>
    </w:r>
    <w:r w:rsidR="00645E21">
      <w:fldChar w:fldCharType="end"/>
    </w:r>
  </w:p>
  <w:p w:rsidR="005138A0" w:rsidP="005138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8A0" w:rsidRPr="00645E21" w:rsidP="00645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21" w:rsidRPr="002D2AF8" w:rsidP="005138A0">
    <w:pPr>
      <w:pStyle w:val="Header"/>
      <w:framePr w:wrap="around"/>
    </w:pPr>
    <w:r>
      <w:fldChar w:fldCharType="begin"/>
    </w:r>
    <w:r>
      <w:instrText xml:space="preserve"> TITLE   \* MERGEFORMAT </w:instrText>
    </w:r>
    <w:r>
      <w:fldChar w:fldCharType="separate"/>
    </w:r>
    <w:r>
      <w:t>TLIX0039 Determine customs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5E21" w:rsidP="005138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A0" w:rsidRPr="002D2AF8" w:rsidP="005138A0">
    <w:pPr>
      <w:pStyle w:val="Header"/>
      <w:framePr w:wrap="around"/>
    </w:pPr>
    <w:r>
      <w:fldChar w:fldCharType="begin"/>
    </w:r>
    <w:r>
      <w:instrText xml:space="preserve"> TITLE   \* MERGEFORMAT </w:instrText>
    </w:r>
    <w:r>
      <w:fldChar w:fldCharType="separate"/>
    </w:r>
    <w:r w:rsidR="00645E21">
      <w:t>TLIX0039 Determine customs value</w:t>
    </w:r>
    <w:r w:rsidR="00645E21">
      <w:fldChar w:fldCharType="end"/>
    </w:r>
    <w:r>
      <w:tab/>
      <w:t xml:space="preserve">Date this document was generated: </w:t>
    </w:r>
    <w:r>
      <w:fldChar w:fldCharType="begin"/>
    </w:r>
    <w:r>
      <w:instrText xml:space="preserve"> CREATEDATE  \@ "d MMMM yyyy"  \* MERGEFORMAT </w:instrText>
    </w:r>
    <w:r>
      <w:fldChar w:fldCharType="separate"/>
    </w:r>
    <w:r w:rsidR="00645E21">
      <w:rPr>
        <w:noProof/>
      </w:rPr>
      <w:t>1 March 2025</w:t>
    </w:r>
    <w:r>
      <w:fldChar w:fldCharType="end"/>
    </w:r>
  </w:p>
  <w:p w:rsidR="005138A0" w:rsidP="00513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94C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C072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8A0"/>
    <w:pPr>
      <w:spacing w:before="360" w:after="60"/>
      <w:outlineLvl w:val="0"/>
    </w:pPr>
    <w:rPr>
      <w:sz w:val="32"/>
    </w:rPr>
  </w:style>
  <w:style w:type="paragraph" w:styleId="Heading2">
    <w:name w:val="heading 2"/>
    <w:basedOn w:val="HeadingBase"/>
    <w:next w:val="BodyText"/>
    <w:link w:val="Heading2Char"/>
    <w:qFormat/>
    <w:rsid w:val="005138A0"/>
    <w:pPr>
      <w:keepLines/>
      <w:spacing w:before="240" w:after="120"/>
      <w:outlineLvl w:val="1"/>
    </w:pPr>
    <w:rPr>
      <w:sz w:val="28"/>
      <w:szCs w:val="40"/>
    </w:rPr>
  </w:style>
  <w:style w:type="paragraph" w:styleId="Heading3">
    <w:name w:val="heading 3"/>
    <w:basedOn w:val="HeadingBase"/>
    <w:next w:val="BodyText"/>
    <w:link w:val="Heading3Char"/>
    <w:qFormat/>
    <w:rsid w:val="005138A0"/>
    <w:pPr>
      <w:spacing w:before="180" w:after="120"/>
      <w:outlineLvl w:val="2"/>
    </w:pPr>
    <w:rPr>
      <w:spacing w:val="-10"/>
      <w:kern w:val="32"/>
    </w:rPr>
  </w:style>
  <w:style w:type="paragraph" w:styleId="Heading4">
    <w:name w:val="heading 4"/>
    <w:basedOn w:val="HeadingBase"/>
    <w:next w:val="BodyText"/>
    <w:link w:val="Heading4Char"/>
    <w:qFormat/>
    <w:rsid w:val="005138A0"/>
    <w:pPr>
      <w:spacing w:before="160" w:after="120"/>
      <w:outlineLvl w:val="3"/>
    </w:pPr>
    <w:rPr>
      <w:sz w:val="22"/>
    </w:rPr>
  </w:style>
  <w:style w:type="paragraph" w:styleId="Heading5">
    <w:name w:val="heading 5"/>
    <w:basedOn w:val="HeadingBase"/>
    <w:next w:val="Normal"/>
    <w:link w:val="Heading5Char"/>
    <w:qFormat/>
    <w:rsid w:val="005138A0"/>
    <w:pPr>
      <w:spacing w:before="80"/>
      <w:outlineLvl w:val="4"/>
    </w:pPr>
    <w:rPr>
      <w:color w:val="918585"/>
      <w:sz w:val="20"/>
    </w:rPr>
  </w:style>
  <w:style w:type="paragraph" w:styleId="Heading6">
    <w:name w:val="heading 6"/>
    <w:basedOn w:val="HeadingBase"/>
    <w:next w:val="Normal"/>
    <w:link w:val="Heading6Char"/>
    <w:qFormat/>
    <w:rsid w:val="005138A0"/>
    <w:pPr>
      <w:spacing w:before="60"/>
      <w:outlineLvl w:val="5"/>
    </w:pPr>
    <w:rPr>
      <w:color w:val="918585"/>
      <w:sz w:val="20"/>
    </w:rPr>
  </w:style>
  <w:style w:type="paragraph" w:styleId="Heading7">
    <w:name w:val="heading 7"/>
    <w:basedOn w:val="Normal"/>
    <w:next w:val="Normal"/>
    <w:link w:val="Heading7Char"/>
    <w:qFormat/>
    <w:rsid w:val="005138A0"/>
    <w:pPr>
      <w:ind w:left="720"/>
      <w:outlineLvl w:val="6"/>
    </w:pPr>
    <w:rPr>
      <w:i/>
    </w:rPr>
  </w:style>
  <w:style w:type="paragraph" w:styleId="Heading8">
    <w:name w:val="heading 8"/>
    <w:basedOn w:val="Normal"/>
    <w:next w:val="Normal"/>
    <w:link w:val="Heading8Char"/>
    <w:qFormat/>
    <w:rsid w:val="005138A0"/>
    <w:pPr>
      <w:ind w:left="720"/>
      <w:outlineLvl w:val="7"/>
    </w:pPr>
    <w:rPr>
      <w:i/>
    </w:rPr>
  </w:style>
  <w:style w:type="paragraph" w:styleId="Heading9">
    <w:name w:val="heading 9"/>
    <w:basedOn w:val="Normal"/>
    <w:next w:val="Normal"/>
    <w:link w:val="Heading9Char"/>
    <w:qFormat/>
    <w:rsid w:val="005138A0"/>
    <w:pPr>
      <w:ind w:left="720"/>
      <w:outlineLvl w:val="8"/>
    </w:pPr>
    <w:rPr>
      <w:i/>
    </w:rPr>
  </w:style>
  <w:style w:type="character" w:default="1" w:styleId="DefaultParagraphFont">
    <w:name w:val="Default Paragraph Font"/>
    <w:uiPriority w:val="1"/>
    <w:unhideWhenUsed/>
    <w:rsid w:val="00513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8A0"/>
  </w:style>
  <w:style w:type="character" w:customStyle="1" w:styleId="Heading1Char">
    <w:name w:val="Heading 1 Char"/>
    <w:basedOn w:val="DefaultParagraphFont"/>
    <w:link w:val="Heading1"/>
    <w:rsid w:val="005138A0"/>
    <w:rPr>
      <w:rFonts w:ascii="Times New Roman" w:eastAsia="Times New Roman" w:hAnsi="Times New Roman" w:cs="Times New Roman"/>
      <w:b/>
      <w:sz w:val="32"/>
      <w:szCs w:val="20"/>
      <w:lang w:eastAsia="en-US"/>
    </w:rPr>
  </w:style>
  <w:style w:type="paragraph" w:styleId="BodyText">
    <w:name w:val="Body Text"/>
    <w:basedOn w:val="Normal"/>
    <w:link w:val="BodyTextChar"/>
    <w:rsid w:val="005138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8A0"/>
    <w:rPr>
      <w:rFonts w:ascii="Times New Roman" w:eastAsia="Times New Roman" w:hAnsi="Times New Roman" w:cs="Times New Roman"/>
      <w:sz w:val="24"/>
      <w:lang w:eastAsia="en-US"/>
    </w:rPr>
  </w:style>
  <w:style w:type="paragraph" w:styleId="ListBullet">
    <w:name w:val="List Bullet"/>
    <w:basedOn w:val="List"/>
    <w:rsid w:val="005138A0"/>
    <w:pPr>
      <w:numPr>
        <w:numId w:val="11"/>
      </w:numPr>
      <w:tabs>
        <w:tab w:val="clear" w:pos="340"/>
      </w:tabs>
      <w:spacing w:before="40" w:after="40"/>
    </w:pPr>
  </w:style>
  <w:style w:type="character" w:customStyle="1" w:styleId="SpecialBold">
    <w:name w:val="Special Bold"/>
    <w:basedOn w:val="DefaultParagraphFont"/>
    <w:rsid w:val="005138A0"/>
    <w:rPr>
      <w:b/>
      <w:spacing w:val="0"/>
    </w:rPr>
  </w:style>
  <w:style w:type="paragraph" w:customStyle="1" w:styleId="SuperHeading">
    <w:name w:val="SuperHeading"/>
    <w:basedOn w:val="Normal"/>
    <w:rsid w:val="005138A0"/>
    <w:pPr>
      <w:spacing w:before="240" w:after="120"/>
      <w:outlineLvl w:val="0"/>
    </w:pPr>
    <w:rPr>
      <w:rFonts w:ascii="Times New Roman" w:hAnsi="Times New Roman"/>
      <w:b/>
      <w:sz w:val="32"/>
    </w:rPr>
  </w:style>
  <w:style w:type="paragraph" w:customStyle="1" w:styleId="AllowPageBreak">
    <w:name w:val="AllowPageBreak"/>
    <w:rsid w:val="005138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3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8A0"/>
    <w:rPr>
      <w:rFonts w:ascii="Courier New" w:eastAsia="Times New Roman" w:hAnsi="Courier New" w:cs="Times New Roman"/>
      <w:i/>
      <w:szCs w:val="20"/>
      <w:lang w:eastAsia="en-US"/>
    </w:rPr>
  </w:style>
  <w:style w:type="paragraph" w:customStyle="1" w:styleId="HeadingBase">
    <w:name w:val="Heading Base"/>
    <w:rsid w:val="00513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8A0"/>
    <w:pPr>
      <w:tabs>
        <w:tab w:val="right" w:leader="dot" w:pos="9072"/>
      </w:tabs>
      <w:ind w:left="567"/>
    </w:pPr>
    <w:rPr>
      <w:szCs w:val="22"/>
    </w:rPr>
  </w:style>
  <w:style w:type="paragraph" w:customStyle="1" w:styleId="TOCBase">
    <w:name w:val="TOC Base"/>
    <w:rsid w:val="00513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8A0"/>
    <w:pPr>
      <w:tabs>
        <w:tab w:val="right" w:leader="dot" w:pos="9072"/>
      </w:tabs>
      <w:spacing w:before="40" w:after="40"/>
      <w:ind w:left="284"/>
    </w:pPr>
    <w:rPr>
      <w:rFonts w:ascii="Times New Roman" w:hAnsi="Times New Roman"/>
    </w:rPr>
  </w:style>
  <w:style w:type="paragraph" w:styleId="TOC1">
    <w:name w:val="toc 1"/>
    <w:basedOn w:val="TOCBase"/>
    <w:next w:val="Normal"/>
    <w:rsid w:val="005138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8A0"/>
    <w:rPr>
      <w:rFonts w:ascii="Times New Roman" w:eastAsia="Times New Roman" w:hAnsi="Times New Roman" w:cs="Times New Roman"/>
      <w:sz w:val="16"/>
      <w:lang w:eastAsia="en-US"/>
    </w:rPr>
  </w:style>
  <w:style w:type="paragraph" w:styleId="Title">
    <w:name w:val="Title"/>
    <w:basedOn w:val="HeadingBase"/>
    <w:link w:val="TitleChar"/>
    <w:qFormat/>
    <w:rsid w:val="005138A0"/>
    <w:pPr>
      <w:spacing w:before="5040"/>
      <w:jc w:val="center"/>
    </w:pPr>
    <w:rPr>
      <w:sz w:val="48"/>
      <w:szCs w:val="72"/>
      <w:lang w:val="en-US"/>
    </w:rPr>
  </w:style>
  <w:style w:type="character" w:customStyle="1" w:styleId="TitleChar">
    <w:name w:val="Title Char"/>
    <w:basedOn w:val="DefaultParagraphFont"/>
    <w:link w:val="Title"/>
    <w:rsid w:val="00513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8A0"/>
    <w:pPr>
      <w:tabs>
        <w:tab w:val="left" w:pos="3600"/>
        <w:tab w:val="left" w:pos="3958"/>
      </w:tabs>
    </w:pPr>
  </w:style>
  <w:style w:type="paragraph" w:styleId="List">
    <w:name w:val="List"/>
    <w:basedOn w:val="BodyText"/>
    <w:next w:val="BodyText"/>
    <w:rsid w:val="005138A0"/>
    <w:pPr>
      <w:tabs>
        <w:tab w:val="left" w:pos="340"/>
      </w:tabs>
      <w:spacing w:before="60" w:after="60"/>
      <w:ind w:left="340" w:hanging="340"/>
    </w:pPr>
  </w:style>
  <w:style w:type="paragraph" w:customStyle="1" w:styleId="Note">
    <w:name w:val="Note"/>
    <w:basedOn w:val="BodyText"/>
    <w:rsid w:val="00513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8A0"/>
    <w:pPr>
      <w:framePr w:wrap="auto" w:hAnchor="text" w:y="6049"/>
    </w:pPr>
    <w:rPr>
      <w:color w:val="000000"/>
      <w:sz w:val="40"/>
    </w:rPr>
  </w:style>
  <w:style w:type="paragraph" w:customStyle="1" w:styleId="TOCTitle">
    <w:name w:val="TOCTitle"/>
    <w:basedOn w:val="Heading1"/>
    <w:rsid w:val="005138A0"/>
    <w:pPr>
      <w:spacing w:after="240"/>
      <w:jc w:val="center"/>
      <w:outlineLvl w:val="9"/>
    </w:pPr>
    <w:rPr>
      <w:caps/>
    </w:rPr>
  </w:style>
  <w:style w:type="paragraph" w:customStyle="1" w:styleId="Version">
    <w:name w:val="Version"/>
    <w:rsid w:val="005138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8A0"/>
    <w:pPr>
      <w:numPr>
        <w:numId w:val="12"/>
      </w:numPr>
      <w:tabs>
        <w:tab w:val="clear" w:pos="680"/>
      </w:tabs>
    </w:pPr>
  </w:style>
  <w:style w:type="paragraph" w:styleId="Index1">
    <w:name w:val="index 1"/>
    <w:basedOn w:val="Normal"/>
    <w:next w:val="Normal"/>
    <w:semiHidden/>
    <w:rsid w:val="005138A0"/>
    <w:pPr>
      <w:keepNext w:val="0"/>
      <w:tabs>
        <w:tab w:val="right" w:pos="4176"/>
      </w:tabs>
      <w:ind w:left="198" w:hanging="198"/>
    </w:pPr>
    <w:rPr>
      <w:rFonts w:ascii="Garamond" w:hAnsi="Garamond"/>
    </w:rPr>
  </w:style>
  <w:style w:type="paragraph" w:styleId="IndexHeading">
    <w:name w:val="index heading"/>
    <w:basedOn w:val="Normal"/>
    <w:next w:val="Index1"/>
    <w:semiHidden/>
    <w:rsid w:val="005138A0"/>
    <w:pPr>
      <w:spacing w:before="120" w:after="120"/>
    </w:pPr>
    <w:rPr>
      <w:rFonts w:ascii="Arial" w:hAnsi="Arial"/>
      <w:b/>
      <w:color w:val="918585"/>
      <w:sz w:val="24"/>
    </w:rPr>
  </w:style>
  <w:style w:type="paragraph" w:styleId="Header">
    <w:name w:val="header"/>
    <w:basedOn w:val="Normal"/>
    <w:link w:val="HeaderChar"/>
    <w:rsid w:val="00513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8A0"/>
    <w:rPr>
      <w:rFonts w:ascii="Times New Roman" w:eastAsia="Times New Roman" w:hAnsi="Times New Roman" w:cs="Times New Roman"/>
      <w:sz w:val="16"/>
      <w:szCs w:val="20"/>
      <w:lang w:val="en-GB" w:eastAsia="en-US"/>
    </w:rPr>
  </w:style>
  <w:style w:type="paragraph" w:customStyle="1" w:styleId="Chapter">
    <w:name w:val="Chapter"/>
    <w:basedOn w:val="Normal"/>
    <w:rsid w:val="005138A0"/>
    <w:pPr>
      <w:spacing w:before="240"/>
    </w:pPr>
    <w:rPr>
      <w:rFonts w:ascii="Times New Roman" w:hAnsi="Times New Roman"/>
      <w:smallCaps/>
      <w:spacing w:val="80"/>
      <w:sz w:val="28"/>
    </w:rPr>
  </w:style>
  <w:style w:type="paragraph" w:customStyle="1" w:styleId="InChapter">
    <w:name w:val="InChapter"/>
    <w:basedOn w:val="Heading3"/>
    <w:rsid w:val="005138A0"/>
    <w:pPr>
      <w:spacing w:after="240"/>
      <w:outlineLvl w:val="9"/>
    </w:pPr>
    <w:rPr>
      <w:noProof/>
    </w:rPr>
  </w:style>
  <w:style w:type="paragraph" w:styleId="Index2">
    <w:name w:val="index 2"/>
    <w:basedOn w:val="Normal"/>
    <w:next w:val="Normal"/>
    <w:semiHidden/>
    <w:rsid w:val="005138A0"/>
    <w:pPr>
      <w:tabs>
        <w:tab w:val="right" w:pos="4176"/>
      </w:tabs>
      <w:ind w:left="568" w:hanging="284"/>
    </w:pPr>
    <w:rPr>
      <w:rFonts w:ascii="Garamond" w:hAnsi="Garamond"/>
    </w:rPr>
  </w:style>
  <w:style w:type="paragraph" w:customStyle="1" w:styleId="Byline">
    <w:name w:val="Byline"/>
    <w:rsid w:val="00513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8A0"/>
    <w:pPr>
      <w:tabs>
        <w:tab w:val="clear" w:pos="3600"/>
        <w:tab w:val="clear" w:pos="3958"/>
      </w:tabs>
      <w:jc w:val="right"/>
    </w:pPr>
  </w:style>
  <w:style w:type="character" w:styleId="Emphasis">
    <w:name w:val="Emphasis"/>
    <w:basedOn w:val="DefaultParagraphFont"/>
    <w:qFormat/>
    <w:rsid w:val="005138A0"/>
    <w:rPr>
      <w:i/>
    </w:rPr>
  </w:style>
  <w:style w:type="paragraph" w:styleId="Caption">
    <w:name w:val="caption"/>
    <w:basedOn w:val="BodyText"/>
    <w:next w:val="Normal"/>
    <w:qFormat/>
    <w:rsid w:val="005138A0"/>
    <w:pPr>
      <w:framePr w:w="2268" w:hSpace="181" w:vSpace="181" w:wrap="around" w:vAnchor="text" w:hAnchor="page" w:x="1135" w:y="285" w:anchorLock="1"/>
    </w:pPr>
    <w:rPr>
      <w:i/>
    </w:rPr>
  </w:style>
  <w:style w:type="paragraph" w:customStyle="1" w:styleId="MiniTOCTitle">
    <w:name w:val="MiniTOCTitle"/>
    <w:basedOn w:val="Heading4"/>
    <w:rsid w:val="005138A0"/>
    <w:pPr>
      <w:spacing w:before="240"/>
      <w:outlineLvl w:val="9"/>
    </w:pPr>
    <w:rPr>
      <w:noProof/>
      <w:sz w:val="24"/>
    </w:rPr>
  </w:style>
  <w:style w:type="paragraph" w:customStyle="1" w:styleId="MiniTOCItem">
    <w:name w:val="MiniTOCItem"/>
    <w:basedOn w:val="ListBullet"/>
    <w:rsid w:val="005138A0"/>
    <w:pPr>
      <w:numPr>
        <w:numId w:val="0"/>
      </w:numPr>
      <w:tabs>
        <w:tab w:val="right" w:leader="dot" w:pos="6521"/>
      </w:tabs>
      <w:spacing w:before="0" w:after="0"/>
    </w:pPr>
  </w:style>
  <w:style w:type="paragraph" w:customStyle="1" w:styleId="TOFTitle">
    <w:name w:val="TOFTitle"/>
    <w:basedOn w:val="TOCTitle"/>
    <w:rsid w:val="005138A0"/>
  </w:style>
  <w:style w:type="paragraph" w:styleId="TableofFigures">
    <w:name w:val="table of figures"/>
    <w:basedOn w:val="Normal"/>
    <w:next w:val="Normal"/>
    <w:semiHidden/>
    <w:rsid w:val="005138A0"/>
    <w:pPr>
      <w:tabs>
        <w:tab w:val="right" w:leader="dot" w:pos="9072"/>
      </w:tabs>
      <w:ind w:left="970" w:hanging="403"/>
    </w:pPr>
    <w:rPr>
      <w:rFonts w:ascii="Times New Roman" w:hAnsi="Times New Roman"/>
      <w:b/>
    </w:rPr>
  </w:style>
  <w:style w:type="paragraph" w:styleId="ListNumber">
    <w:name w:val="List Number"/>
    <w:basedOn w:val="List"/>
    <w:rsid w:val="005138A0"/>
    <w:pPr>
      <w:numPr>
        <w:numId w:val="14"/>
      </w:numPr>
      <w:tabs>
        <w:tab w:val="clear" w:pos="340"/>
      </w:tabs>
    </w:pPr>
  </w:style>
  <w:style w:type="character" w:customStyle="1" w:styleId="WingdingSymbols">
    <w:name w:val="Wingding Symbols"/>
    <w:rsid w:val="005138A0"/>
    <w:rPr>
      <w:rFonts w:ascii="Wingdings" w:hAnsi="Wingdings"/>
    </w:rPr>
  </w:style>
  <w:style w:type="paragraph" w:customStyle="1" w:styleId="TableHeading">
    <w:name w:val="Table Heading"/>
    <w:basedOn w:val="HeadingBase"/>
    <w:rsid w:val="005138A0"/>
    <w:pPr>
      <w:keepLines/>
      <w:pBdr>
        <w:bottom w:val="single" w:sz="6" w:space="1" w:color="918585"/>
      </w:pBdr>
      <w:spacing w:before="240"/>
    </w:pPr>
  </w:style>
  <w:style w:type="character" w:customStyle="1" w:styleId="HotSpot">
    <w:name w:val="HotSpot"/>
    <w:rsid w:val="005138A0"/>
    <w:rPr>
      <w:color w:val="0033CC"/>
      <w:u w:val="none"/>
    </w:rPr>
  </w:style>
  <w:style w:type="paragraph" w:customStyle="1" w:styleId="BodyTextRight">
    <w:name w:val="Body Text Right"/>
    <w:basedOn w:val="BodyText"/>
    <w:rsid w:val="005138A0"/>
    <w:pPr>
      <w:spacing w:before="0" w:after="0"/>
      <w:jc w:val="right"/>
    </w:pPr>
  </w:style>
  <w:style w:type="paragraph" w:styleId="Index3">
    <w:name w:val="index 3"/>
    <w:basedOn w:val="ListNumber2"/>
    <w:next w:val="Normal"/>
    <w:semiHidden/>
    <w:rsid w:val="005138A0"/>
    <w:pPr>
      <w:numPr>
        <w:numId w:val="0"/>
      </w:numPr>
      <w:tabs>
        <w:tab w:val="right" w:leader="dot" w:pos="4176"/>
      </w:tabs>
    </w:pPr>
  </w:style>
  <w:style w:type="paragraph" w:styleId="ListNumber2">
    <w:name w:val="List Number 2"/>
    <w:basedOn w:val="List2"/>
    <w:rsid w:val="005138A0"/>
    <w:pPr>
      <w:numPr>
        <w:numId w:val="9"/>
      </w:numPr>
      <w:tabs>
        <w:tab w:val="clear" w:pos="1060"/>
      </w:tabs>
    </w:pPr>
  </w:style>
  <w:style w:type="paragraph" w:customStyle="1" w:styleId="MarginNote">
    <w:name w:val="Margin Note"/>
    <w:basedOn w:val="BodyText"/>
    <w:rsid w:val="00513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8A0"/>
    <w:rPr>
      <w:sz w:val="32"/>
    </w:rPr>
  </w:style>
  <w:style w:type="paragraph" w:customStyle="1" w:styleId="HeadingProcedure">
    <w:name w:val="Heading Procedure"/>
    <w:basedOn w:val="HeadingBase"/>
    <w:next w:val="Normal"/>
    <w:rsid w:val="005138A0"/>
    <w:pPr>
      <w:tabs>
        <w:tab w:val="left" w:pos="0"/>
      </w:tabs>
      <w:spacing w:before="120" w:after="60"/>
    </w:pPr>
    <w:rPr>
      <w:i/>
      <w:color w:val="918585"/>
      <w:sz w:val="22"/>
    </w:rPr>
  </w:style>
  <w:style w:type="paragraph" w:customStyle="1" w:styleId="TableBodyText">
    <w:name w:val="Table Body Text"/>
    <w:basedOn w:val="BodyText"/>
    <w:rsid w:val="005138A0"/>
    <w:pPr>
      <w:spacing w:before="60" w:after="60"/>
    </w:pPr>
  </w:style>
  <w:style w:type="paragraph" w:styleId="ListContinue">
    <w:name w:val="List Continue"/>
    <w:basedOn w:val="List"/>
    <w:rsid w:val="005138A0"/>
    <w:pPr>
      <w:ind w:firstLine="0"/>
    </w:pPr>
  </w:style>
  <w:style w:type="paragraph" w:customStyle="1" w:styleId="ListNote">
    <w:name w:val="List Note"/>
    <w:basedOn w:val="List"/>
    <w:rsid w:val="005138A0"/>
    <w:pPr>
      <w:pBdr>
        <w:top w:val="single" w:sz="6" w:space="2" w:color="918585"/>
        <w:bottom w:val="single" w:sz="6" w:space="2" w:color="918585"/>
      </w:pBdr>
      <w:tabs>
        <w:tab w:val="left" w:pos="1021"/>
      </w:tabs>
      <w:ind w:firstLine="0"/>
    </w:pPr>
  </w:style>
  <w:style w:type="paragraph" w:customStyle="1" w:styleId="Warning">
    <w:name w:val="Warning"/>
    <w:basedOn w:val="BodyText"/>
    <w:rsid w:val="005138A0"/>
    <w:pPr>
      <w:shd w:val="clear" w:color="auto" w:fill="D9D9D9"/>
      <w:tabs>
        <w:tab w:val="left" w:pos="992"/>
      </w:tabs>
      <w:ind w:left="119" w:right="119"/>
    </w:pPr>
    <w:rPr>
      <w:sz w:val="20"/>
    </w:rPr>
  </w:style>
  <w:style w:type="paragraph" w:customStyle="1" w:styleId="MarginIcons">
    <w:name w:val="Margin Icons"/>
    <w:basedOn w:val="BodyText"/>
    <w:rsid w:val="00513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8A0"/>
    <w:rPr>
      <w:rFonts w:ascii="Courier New" w:hAnsi="Courier New"/>
    </w:rPr>
  </w:style>
  <w:style w:type="paragraph" w:customStyle="1" w:styleId="NoteBullet">
    <w:name w:val="Note Bullet"/>
    <w:basedOn w:val="Note"/>
    <w:rsid w:val="005138A0"/>
    <w:pPr>
      <w:tabs>
        <w:tab w:val="clear" w:pos="680"/>
      </w:tabs>
      <w:spacing w:before="60" w:after="60"/>
    </w:pPr>
  </w:style>
  <w:style w:type="paragraph" w:customStyle="1" w:styleId="SubHeading2">
    <w:name w:val="SubHeading2"/>
    <w:basedOn w:val="HeadingBase"/>
    <w:rsid w:val="005138A0"/>
    <w:pPr>
      <w:spacing w:before="240" w:after="60"/>
    </w:pPr>
    <w:rPr>
      <w:sz w:val="20"/>
    </w:rPr>
  </w:style>
  <w:style w:type="paragraph" w:customStyle="1" w:styleId="SubHeading1">
    <w:name w:val="SubHeading1"/>
    <w:basedOn w:val="HeadingBase"/>
    <w:rsid w:val="005138A0"/>
    <w:pPr>
      <w:spacing w:before="240" w:after="60"/>
    </w:pPr>
    <w:rPr>
      <w:color w:val="918585"/>
      <w:sz w:val="22"/>
    </w:rPr>
  </w:style>
  <w:style w:type="paragraph" w:customStyle="1" w:styleId="SideHeading">
    <w:name w:val="Side Heading"/>
    <w:basedOn w:val="HeadingBase"/>
    <w:rsid w:val="00513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8A0"/>
    <w:pPr>
      <w:numPr>
        <w:numId w:val="10"/>
      </w:numPr>
    </w:pPr>
  </w:style>
  <w:style w:type="paragraph" w:styleId="PlainText">
    <w:name w:val="Plain Text"/>
    <w:basedOn w:val="Normal"/>
    <w:link w:val="PlainTextChar"/>
    <w:rsid w:val="005138A0"/>
    <w:rPr>
      <w:sz w:val="20"/>
    </w:rPr>
  </w:style>
  <w:style w:type="character" w:customStyle="1" w:styleId="PlainTextChar">
    <w:name w:val="Plain Text Char"/>
    <w:basedOn w:val="DefaultParagraphFont"/>
    <w:link w:val="PlainText"/>
    <w:rsid w:val="005138A0"/>
    <w:rPr>
      <w:rFonts w:ascii="Courier New" w:eastAsia="Times New Roman" w:hAnsi="Courier New" w:cs="Times New Roman"/>
      <w:sz w:val="20"/>
      <w:szCs w:val="20"/>
      <w:lang w:eastAsia="en-US"/>
    </w:rPr>
  </w:style>
  <w:style w:type="character" w:customStyle="1" w:styleId="MenuOption">
    <w:name w:val="Menu Option"/>
    <w:basedOn w:val="DefaultParagraphFont"/>
    <w:rsid w:val="005138A0"/>
    <w:rPr>
      <w:b/>
      <w:smallCaps/>
    </w:rPr>
  </w:style>
  <w:style w:type="paragraph" w:customStyle="1" w:styleId="TableListNumber">
    <w:name w:val="Table List Number"/>
    <w:basedOn w:val="ListNumber"/>
    <w:rsid w:val="005138A0"/>
    <w:pPr>
      <w:numPr>
        <w:numId w:val="0"/>
      </w:numPr>
    </w:pPr>
  </w:style>
  <w:style w:type="paragraph" w:styleId="TOC4">
    <w:name w:val="toc 4"/>
    <w:basedOn w:val="TOCBase"/>
    <w:next w:val="Normal"/>
    <w:semiHidden/>
    <w:rsid w:val="005138A0"/>
    <w:pPr>
      <w:tabs>
        <w:tab w:val="right" w:leader="dot" w:pos="9071"/>
      </w:tabs>
      <w:ind w:left="1701"/>
    </w:pPr>
  </w:style>
  <w:style w:type="paragraph" w:customStyle="1" w:styleId="ListAlpha">
    <w:name w:val="List Alpha"/>
    <w:basedOn w:val="List"/>
    <w:rsid w:val="005138A0"/>
    <w:pPr>
      <w:numPr>
        <w:numId w:val="8"/>
      </w:numPr>
    </w:pPr>
  </w:style>
  <w:style w:type="paragraph" w:customStyle="1" w:styleId="ListAlpha2">
    <w:name w:val="List Alpha 2"/>
    <w:basedOn w:val="List2"/>
    <w:rsid w:val="005138A0"/>
    <w:pPr>
      <w:numPr>
        <w:numId w:val="7"/>
      </w:numPr>
    </w:pPr>
  </w:style>
  <w:style w:type="paragraph" w:styleId="List2">
    <w:name w:val="List 2"/>
    <w:basedOn w:val="BodyText"/>
    <w:rsid w:val="005138A0"/>
    <w:pPr>
      <w:tabs>
        <w:tab w:val="left" w:pos="680"/>
      </w:tabs>
      <w:spacing w:before="60" w:after="60"/>
      <w:ind w:left="680" w:hanging="340"/>
    </w:pPr>
  </w:style>
  <w:style w:type="paragraph" w:styleId="List3">
    <w:name w:val="List 3"/>
    <w:basedOn w:val="BodyText"/>
    <w:rsid w:val="005138A0"/>
    <w:pPr>
      <w:tabs>
        <w:tab w:val="left" w:pos="1021"/>
      </w:tabs>
      <w:spacing w:before="60" w:after="60"/>
      <w:ind w:left="1020" w:hanging="340"/>
    </w:pPr>
  </w:style>
  <w:style w:type="paragraph" w:styleId="List4">
    <w:name w:val="List 4"/>
    <w:basedOn w:val="BodyText"/>
    <w:rsid w:val="005138A0"/>
    <w:pPr>
      <w:tabs>
        <w:tab w:val="left" w:pos="1361"/>
      </w:tabs>
      <w:spacing w:before="60" w:after="60"/>
      <w:ind w:left="1361" w:hanging="340"/>
    </w:pPr>
  </w:style>
  <w:style w:type="paragraph" w:styleId="List5">
    <w:name w:val="List 5"/>
    <w:basedOn w:val="BodyText"/>
    <w:rsid w:val="005138A0"/>
    <w:pPr>
      <w:tabs>
        <w:tab w:val="left" w:pos="1701"/>
      </w:tabs>
      <w:spacing w:before="60" w:after="60"/>
      <w:ind w:left="1701" w:hanging="340"/>
    </w:pPr>
  </w:style>
  <w:style w:type="paragraph" w:styleId="ListBullet3">
    <w:name w:val="List Bullet 3"/>
    <w:basedOn w:val="List3"/>
    <w:rsid w:val="005138A0"/>
    <w:pPr>
      <w:numPr>
        <w:numId w:val="13"/>
      </w:numPr>
      <w:tabs>
        <w:tab w:val="clear" w:pos="1021"/>
      </w:tabs>
      <w:ind w:left="1037" w:hanging="357"/>
    </w:pPr>
  </w:style>
  <w:style w:type="paragraph" w:styleId="ListBullet4">
    <w:name w:val="List Bullet 4"/>
    <w:basedOn w:val="List4"/>
    <w:rsid w:val="005138A0"/>
    <w:pPr>
      <w:numPr>
        <w:numId w:val="2"/>
      </w:numPr>
      <w:tabs>
        <w:tab w:val="clear" w:pos="1361"/>
      </w:tabs>
    </w:pPr>
  </w:style>
  <w:style w:type="paragraph" w:styleId="ListBullet5">
    <w:name w:val="List Bullet 5"/>
    <w:basedOn w:val="List5"/>
    <w:rsid w:val="005138A0"/>
    <w:pPr>
      <w:numPr>
        <w:numId w:val="3"/>
      </w:numPr>
    </w:pPr>
  </w:style>
  <w:style w:type="paragraph" w:styleId="ListContinue2">
    <w:name w:val="List Continue 2"/>
    <w:basedOn w:val="List2"/>
    <w:rsid w:val="005138A0"/>
    <w:pPr>
      <w:ind w:firstLine="0"/>
    </w:pPr>
  </w:style>
  <w:style w:type="paragraph" w:styleId="ListContinue3">
    <w:name w:val="List Continue 3"/>
    <w:basedOn w:val="List3"/>
    <w:rsid w:val="005138A0"/>
    <w:pPr>
      <w:ind w:left="1021" w:firstLine="0"/>
    </w:pPr>
  </w:style>
  <w:style w:type="paragraph" w:styleId="ListContinue4">
    <w:name w:val="List Continue 4"/>
    <w:basedOn w:val="List4"/>
    <w:rsid w:val="005138A0"/>
    <w:pPr>
      <w:ind w:firstLine="0"/>
    </w:pPr>
  </w:style>
  <w:style w:type="paragraph" w:styleId="ListContinue5">
    <w:name w:val="List Continue 5"/>
    <w:basedOn w:val="List5"/>
    <w:rsid w:val="005138A0"/>
    <w:pPr>
      <w:ind w:firstLine="0"/>
    </w:pPr>
  </w:style>
  <w:style w:type="paragraph" w:styleId="ListNumber3">
    <w:name w:val="List Number 3"/>
    <w:basedOn w:val="List3"/>
    <w:rsid w:val="005138A0"/>
    <w:pPr>
      <w:numPr>
        <w:numId w:val="4"/>
      </w:numPr>
    </w:pPr>
  </w:style>
  <w:style w:type="paragraph" w:styleId="ListNumber4">
    <w:name w:val="List Number 4"/>
    <w:basedOn w:val="List4"/>
    <w:rsid w:val="005138A0"/>
    <w:pPr>
      <w:numPr>
        <w:numId w:val="5"/>
      </w:numPr>
    </w:pPr>
  </w:style>
  <w:style w:type="paragraph" w:styleId="ListNumber5">
    <w:name w:val="List Number 5"/>
    <w:basedOn w:val="List5"/>
    <w:rsid w:val="005138A0"/>
    <w:pPr>
      <w:numPr>
        <w:numId w:val="6"/>
      </w:numPr>
    </w:pPr>
  </w:style>
  <w:style w:type="paragraph" w:styleId="BlockText">
    <w:name w:val="Block Text"/>
    <w:basedOn w:val="Normal"/>
    <w:rsid w:val="005138A0"/>
    <w:pPr>
      <w:spacing w:after="120"/>
      <w:ind w:left="1440" w:right="1440"/>
    </w:pPr>
  </w:style>
  <w:style w:type="character" w:customStyle="1" w:styleId="Subscript">
    <w:name w:val="Subscript"/>
    <w:basedOn w:val="DefaultParagraphFont"/>
    <w:rsid w:val="005138A0"/>
    <w:rPr>
      <w:sz w:val="16"/>
      <w:vertAlign w:val="subscript"/>
    </w:rPr>
  </w:style>
  <w:style w:type="character" w:customStyle="1" w:styleId="Superscript">
    <w:name w:val="Superscript"/>
    <w:basedOn w:val="DefaultParagraphFont"/>
    <w:rsid w:val="005138A0"/>
    <w:rPr>
      <w:sz w:val="16"/>
      <w:vertAlign w:val="superscript"/>
    </w:rPr>
  </w:style>
  <w:style w:type="character" w:customStyle="1" w:styleId="Symbols">
    <w:name w:val="Symbols"/>
    <w:basedOn w:val="DefaultParagraphFont"/>
    <w:rsid w:val="005138A0"/>
    <w:rPr>
      <w:rFonts w:ascii="Symbol" w:hAnsi="Symbol"/>
    </w:rPr>
  </w:style>
  <w:style w:type="character" w:customStyle="1" w:styleId="MenuOptions">
    <w:name w:val="Menu Options"/>
    <w:basedOn w:val="DefaultParagraphFont"/>
    <w:rsid w:val="005138A0"/>
    <w:rPr>
      <w:rFonts w:ascii="Arial Narrow" w:hAnsi="Arial Narrow"/>
      <w:smallCaps/>
    </w:rPr>
  </w:style>
  <w:style w:type="character" w:customStyle="1" w:styleId="Buttons">
    <w:name w:val="Buttons"/>
    <w:basedOn w:val="DefaultParagraphFont"/>
    <w:rsid w:val="005138A0"/>
    <w:rPr>
      <w:b/>
    </w:rPr>
  </w:style>
  <w:style w:type="character" w:customStyle="1" w:styleId="Underlined">
    <w:name w:val="Underlined"/>
    <w:basedOn w:val="DefaultParagraphFont"/>
    <w:rsid w:val="005138A0"/>
    <w:rPr>
      <w:u w:val="single"/>
    </w:rPr>
  </w:style>
  <w:style w:type="paragraph" w:customStyle="1" w:styleId="TableBodyTextRight">
    <w:name w:val="Table Body Text Right"/>
    <w:basedOn w:val="TableBodyText"/>
    <w:rsid w:val="005138A0"/>
    <w:pPr>
      <w:widowControl w:val="0"/>
      <w:autoSpaceDE w:val="0"/>
      <w:autoSpaceDN w:val="0"/>
      <w:adjustRightInd w:val="0"/>
      <w:jc w:val="right"/>
    </w:pPr>
    <w:rPr>
      <w:rFonts w:cs="Arial"/>
      <w:szCs w:val="18"/>
    </w:rPr>
  </w:style>
  <w:style w:type="paragraph" w:customStyle="1" w:styleId="CopyrightText">
    <w:name w:val="Copyright Text"/>
    <w:basedOn w:val="BodyText"/>
    <w:rsid w:val="005138A0"/>
    <w:rPr>
      <w:sz w:val="18"/>
    </w:rPr>
  </w:style>
  <w:style w:type="paragraph" w:customStyle="1" w:styleId="BodySmallRight">
    <w:name w:val="Body Small Right"/>
    <w:basedOn w:val="BodyTextRight"/>
    <w:rsid w:val="005138A0"/>
    <w:rPr>
      <w:sz w:val="18"/>
      <w:szCs w:val="18"/>
    </w:rPr>
  </w:style>
  <w:style w:type="paragraph" w:customStyle="1" w:styleId="MarginEdition">
    <w:name w:val="Margin Edition"/>
    <w:basedOn w:val="MarginNote"/>
    <w:rsid w:val="005138A0"/>
    <w:pPr>
      <w:spacing w:before="0" w:after="0"/>
    </w:pPr>
    <w:rPr>
      <w:rFonts w:ascii="Times New Roman" w:hAnsi="Times New Roman"/>
      <w:color w:val="999999"/>
    </w:rPr>
  </w:style>
  <w:style w:type="paragraph" w:customStyle="1" w:styleId="Spacer">
    <w:name w:val="Spacer"/>
    <w:basedOn w:val="Normal"/>
    <w:rsid w:val="005138A0"/>
    <w:rPr>
      <w:sz w:val="2"/>
      <w:szCs w:val="2"/>
    </w:rPr>
  </w:style>
  <w:style w:type="character" w:customStyle="1" w:styleId="Small">
    <w:name w:val="Small"/>
    <w:basedOn w:val="DefaultParagraphFont"/>
    <w:rsid w:val="005138A0"/>
    <w:rPr>
      <w:sz w:val="16"/>
    </w:rPr>
  </w:style>
  <w:style w:type="paragraph" w:customStyle="1" w:styleId="WideTable">
    <w:name w:val="Wide Table"/>
    <w:basedOn w:val="Normal"/>
    <w:rsid w:val="005138A0"/>
    <w:pPr>
      <w:ind w:left="-1418"/>
    </w:pPr>
    <w:rPr>
      <w:sz w:val="2"/>
      <w:szCs w:val="2"/>
    </w:rPr>
  </w:style>
  <w:style w:type="character" w:styleId="PageNumber">
    <w:name w:val="page number"/>
    <w:basedOn w:val="DefaultParagraphFont"/>
    <w:rsid w:val="005138A0"/>
  </w:style>
  <w:style w:type="paragraph" w:styleId="Quote">
    <w:name w:val="Quote"/>
    <w:basedOn w:val="Heading1"/>
    <w:link w:val="QuoteChar"/>
    <w:qFormat/>
    <w:rsid w:val="005138A0"/>
    <w:rPr>
      <w:b w:val="0"/>
      <w:sz w:val="72"/>
      <w:szCs w:val="72"/>
      <w:lang w:val="en-NZ"/>
    </w:rPr>
  </w:style>
  <w:style w:type="character" w:customStyle="1" w:styleId="QuoteChar">
    <w:name w:val="Quote Char"/>
    <w:basedOn w:val="DefaultParagraphFont"/>
    <w:link w:val="Quote"/>
    <w:rsid w:val="00513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8A0"/>
    <w:pPr>
      <w:pageBreakBefore/>
    </w:pPr>
  </w:style>
  <w:style w:type="paragraph" w:customStyle="1" w:styleId="Border">
    <w:name w:val="Border"/>
    <w:basedOn w:val="Normal"/>
    <w:qFormat/>
    <w:rsid w:val="00513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8A0"/>
    <w:rPr>
      <w:b/>
      <w:bCs/>
      <w:i/>
      <w:iCs/>
      <w:color w:val="auto"/>
    </w:rPr>
  </w:style>
  <w:style w:type="paragraph" w:styleId="IntenseQuote">
    <w:name w:val="Intense Quote"/>
    <w:basedOn w:val="Normal"/>
    <w:next w:val="Normal"/>
    <w:link w:val="IntenseQuoteChar"/>
    <w:uiPriority w:val="30"/>
    <w:qFormat/>
    <w:rsid w:val="00513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8A0"/>
    <w:rPr>
      <w:smallCaps/>
      <w:color w:val="auto"/>
      <w:u w:val="single"/>
    </w:rPr>
  </w:style>
  <w:style w:type="character" w:styleId="IntenseReference">
    <w:name w:val="Intense Reference"/>
    <w:basedOn w:val="DefaultParagraphFont"/>
    <w:uiPriority w:val="32"/>
    <w:qFormat/>
    <w:rsid w:val="005138A0"/>
    <w:rPr>
      <w:b/>
      <w:bCs/>
      <w:smallCaps/>
      <w:color w:val="auto"/>
      <w:spacing w:val="5"/>
      <w:u w:val="single"/>
    </w:rPr>
  </w:style>
  <w:style w:type="paragraph" w:customStyle="1" w:styleId="2ColumnHeading">
    <w:name w:val="2Column Heading"/>
    <w:basedOn w:val="BodyText"/>
    <w:qFormat/>
    <w:rsid w:val="005138A0"/>
    <w:pPr>
      <w:spacing w:after="60"/>
      <w:ind w:left="-2268"/>
    </w:pPr>
    <w:rPr>
      <w:b/>
    </w:rPr>
  </w:style>
  <w:style w:type="paragraph" w:customStyle="1" w:styleId="Heading1TOC">
    <w:name w:val="Heading1 TOC"/>
    <w:basedOn w:val="Normal"/>
    <w:qFormat/>
    <w:rsid w:val="005138A0"/>
    <w:pPr>
      <w:spacing w:before="240" w:after="120"/>
    </w:pPr>
    <w:rPr>
      <w:rFonts w:ascii="Times New Roman" w:hAnsi="Times New Roman"/>
      <w:b/>
      <w:sz w:val="32"/>
    </w:rPr>
  </w:style>
  <w:style w:type="paragraph" w:customStyle="1" w:styleId="Heading2TOC">
    <w:name w:val="Heading2 TOC"/>
    <w:basedOn w:val="Normal"/>
    <w:qFormat/>
    <w:rsid w:val="005138A0"/>
    <w:pPr>
      <w:spacing w:before="240" w:after="60"/>
    </w:pPr>
    <w:rPr>
      <w:rFonts w:ascii="Times New Roman" w:hAnsi="Times New Roman"/>
      <w:b/>
      <w:sz w:val="28"/>
    </w:rPr>
  </w:style>
  <w:style w:type="character" w:customStyle="1" w:styleId="Underline">
    <w:name w:val="Underline"/>
    <w:basedOn w:val="DefaultParagraphFont"/>
    <w:qFormat/>
    <w:rsid w:val="005138A0"/>
    <w:rPr>
      <w:u w:val="single"/>
    </w:rPr>
  </w:style>
  <w:style w:type="character" w:customStyle="1" w:styleId="BoldandItalics">
    <w:name w:val="Bold and Italics"/>
    <w:qFormat/>
    <w:rsid w:val="005138A0"/>
    <w:rPr>
      <w:b/>
      <w:i/>
      <w:u w:val="none"/>
    </w:rPr>
  </w:style>
  <w:style w:type="paragraph" w:styleId="BalloonText">
    <w:name w:val="Balloon Text"/>
    <w:basedOn w:val="Normal"/>
    <w:link w:val="BalloonTextChar"/>
    <w:rsid w:val="005138A0"/>
    <w:rPr>
      <w:rFonts w:ascii="Tahoma" w:hAnsi="Tahoma" w:cs="Tahoma"/>
      <w:sz w:val="16"/>
      <w:szCs w:val="16"/>
    </w:rPr>
  </w:style>
  <w:style w:type="character" w:customStyle="1" w:styleId="BalloonTextChar">
    <w:name w:val="Balloon Text Char"/>
    <w:basedOn w:val="DefaultParagraphFont"/>
    <w:link w:val="BalloonText"/>
    <w:rsid w:val="00513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8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8A0"/>
    <w:rPr>
      <w:b/>
      <w:color w:val="660033"/>
      <w:spacing w:val="0"/>
    </w:rPr>
  </w:style>
  <w:style w:type="paragraph" w:customStyle="1" w:styleId="Nameditemlist">
    <w:name w:val="Named item list"/>
    <w:basedOn w:val="BodyText"/>
    <w:qFormat/>
    <w:rsid w:val="005138A0"/>
    <w:pPr>
      <w:tabs>
        <w:tab w:val="left" w:pos="2835"/>
      </w:tabs>
      <w:ind w:left="2835" w:hanging="2835"/>
    </w:pPr>
  </w:style>
  <w:style w:type="paragraph" w:customStyle="1" w:styleId="BodyTextnopadding">
    <w:name w:val="Body Text no padding"/>
    <w:basedOn w:val="BodyText"/>
    <w:qFormat/>
    <w:rsid w:val="005138A0"/>
    <w:pPr>
      <w:spacing w:before="0" w:after="0"/>
    </w:pPr>
  </w:style>
  <w:style w:type="paragraph" w:customStyle="1" w:styleId="BodyTextBold">
    <w:name w:val="Body Text Bold"/>
    <w:basedOn w:val="BodyText"/>
    <w:qFormat/>
    <w:rsid w:val="005138A0"/>
    <w:rPr>
      <w:b/>
    </w:rPr>
  </w:style>
  <w:style w:type="character" w:styleId="Hyperlink">
    <w:name w:val="Hyperlink"/>
    <w:basedOn w:val="DefaultParagraphFont"/>
    <w:uiPriority w:val="99"/>
    <w:unhideWhenUsed/>
    <w:rsid w:val="00645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5216</Characters>
  <Application>Microsoft Office Word</Application>
  <DocSecurity>0</DocSecurity>
  <Lines>226</Lines>
  <Paragraphs>126</Paragraphs>
  <ScaleCrop>false</ScaleCrop>
  <Company>Author-it Software Corporation Ltd.</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TLIX0039 Determine customs value</dc:title>
  <dc:subject>Approved</dc:subject>
  <dc:creator>Industry Skills Australia</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