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496" w:rsidP="00F96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TLIX0039 Determine customs value</w:t>
      </w:r>
      <w:r>
        <w:fldChar w:fldCharType="end"/>
      </w:r>
    </w:p>
    <w:p w:rsidR="00F96496" w:rsidP="00F96496">
      <w:pPr>
        <w:pStyle w:val="Version"/>
        <w:sectPr w:rsidSect="006D5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1AD" w:rsidP="006D51AD">
      <w:pPr>
        <w:pStyle w:val="SuperHeading"/>
      </w:pPr>
      <w:r w:rsidRPr="006D51AD">
        <w:t>Assessment Requirements for TLIX0039 Determine customs value</w:t>
      </w:r>
    </w:p>
    <w:p w:rsidR="00000000" w:rsidRPr="006D51AD" w:rsidP="006D51AD">
      <w:pPr>
        <w:pStyle w:val="Heading1"/>
      </w:pPr>
      <w:bookmarkStart w:id="1" w:name="O_1232649"/>
      <w:bookmarkEnd w:id="1"/>
      <w:r w:rsidRPr="006D51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AD" w:rsidP="006D51AD">
            <w:pPr>
              <w:pStyle w:val="BodyText"/>
            </w:pPr>
            <w:r w:rsidRPr="006D51AD">
              <w:rPr>
                <w:rStyle w:val="SpecialBold"/>
              </w:rPr>
              <w:t>Release 1</w:t>
            </w:r>
            <w:r w:rsidRPr="006D51AD">
              <w:t>. This is the first release of this unit of competency in the TLI Transport and Logistics Training Package.</w:t>
            </w:r>
          </w:p>
        </w:tc>
      </w:tr>
    </w:tbl>
    <w:p w:rsidR="00F96496" w:rsidP="006D51AD">
      <w:pPr>
        <w:pStyle w:val="NoPaddingFontSize1"/>
      </w:pPr>
    </w:p>
    <w:p w:rsidR="00F96496" w:rsidP="006D51AD">
      <w:pPr>
        <w:pStyle w:val="NoPaddingFontSize1"/>
      </w:pPr>
    </w:p>
    <w:p w:rsidR="00000000" w:rsidRPr="006D51AD" w:rsidP="006D51AD">
      <w:pPr>
        <w:pStyle w:val="Heading1"/>
      </w:pPr>
      <w:bookmarkStart w:id="2" w:name="O_1232650"/>
      <w:bookmarkEnd w:id="2"/>
      <w:r w:rsidRPr="006D51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AD">
            <w:pPr>
              <w:pStyle w:val="BodyText"/>
              <w:rPr>
                <w:lang w:val="en-NZ"/>
              </w:rPr>
            </w:pPr>
            <w:r w:rsidRPr="006D51AD">
              <w:t xml:space="preserve">Evidence required to demonstrate competence in this unit </w:t>
            </w:r>
            <w:r w:rsidRPr="006D51AD">
              <w:t>must be relevant to and satisfy all of the requirements of the elements and performance criteria on at least one occasion and include:</w:t>
            </w:r>
          </w:p>
        </w:tc>
      </w:tr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AD" w:rsidP="006D51AD">
            <w:pPr>
              <w:pStyle w:val="ListBullet"/>
            </w:pPr>
            <w:r w:rsidRPr="006D51AD">
              <w:t xml:space="preserve">accurately calculating the duty payable </w:t>
            </w:r>
          </w:p>
          <w:p w:rsidR="00000000" w:rsidRPr="006D51AD" w:rsidP="006D51AD">
            <w:pPr>
              <w:pStyle w:val="ListBullet"/>
            </w:pPr>
            <w:r w:rsidRPr="006D51AD">
              <w:t>analysing information for valuation purposes</w:t>
            </w:r>
          </w:p>
          <w:p w:rsidR="00000000" w:rsidRPr="006D51AD" w:rsidP="006D51AD">
            <w:pPr>
              <w:pStyle w:val="ListBullet"/>
            </w:pPr>
            <w:r w:rsidRPr="006D51AD">
              <w:t>calculating adjusted price</w:t>
            </w:r>
          </w:p>
          <w:p w:rsidR="00000000" w:rsidRPr="006D51AD" w:rsidP="006D51AD">
            <w:pPr>
              <w:pStyle w:val="ListBullet"/>
            </w:pPr>
            <w:r w:rsidRPr="006D51AD">
              <w:t>calcul</w:t>
            </w:r>
            <w:r w:rsidRPr="006D51AD">
              <w:t>ating customs value</w:t>
            </w:r>
          </w:p>
          <w:p w:rsidR="00000000" w:rsidRPr="006D51AD" w:rsidP="006D51AD">
            <w:pPr>
              <w:pStyle w:val="ListBullet"/>
            </w:pPr>
            <w:r w:rsidRPr="006D51AD">
              <w:t>determining price and adjusted price</w:t>
            </w:r>
          </w:p>
          <w:p w:rsidR="00000000" w:rsidRPr="006D51AD" w:rsidP="006D51AD">
            <w:pPr>
              <w:pStyle w:val="ListBullet"/>
            </w:pPr>
            <w:r w:rsidRPr="006D51AD">
              <w:t xml:space="preserve">determining the transaction value </w:t>
            </w:r>
          </w:p>
          <w:p w:rsidR="00000000" w:rsidRPr="006D51AD" w:rsidP="006D51AD">
            <w:pPr>
              <w:pStyle w:val="ListBullet"/>
            </w:pPr>
            <w:r w:rsidRPr="006D51AD">
              <w:t xml:space="preserve">identifying price-related costs </w:t>
            </w:r>
          </w:p>
          <w:p w:rsidR="00000000" w:rsidRPr="006D51AD" w:rsidP="006D51AD">
            <w:pPr>
              <w:pStyle w:val="ListBullet"/>
            </w:pPr>
            <w:r w:rsidRPr="006D51AD">
              <w:t>identifying relevant import sales transaction for customs valuation purposes.</w:t>
            </w:r>
          </w:p>
        </w:tc>
      </w:tr>
    </w:tbl>
    <w:p w:rsidR="00F96496" w:rsidP="006D51AD">
      <w:pPr>
        <w:pStyle w:val="NoPaddingFontSize1"/>
      </w:pPr>
    </w:p>
    <w:p w:rsidR="00F96496" w:rsidP="006D51AD">
      <w:pPr>
        <w:pStyle w:val="NoPaddingFontSize1"/>
      </w:pPr>
    </w:p>
    <w:p w:rsidR="00000000" w:rsidRPr="006D51AD" w:rsidP="006D51AD">
      <w:pPr>
        <w:pStyle w:val="Heading1"/>
      </w:pPr>
      <w:bookmarkStart w:id="3" w:name="O_1232651"/>
      <w:bookmarkEnd w:id="3"/>
      <w:r w:rsidRPr="006D51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1AD">
            <w:pPr>
              <w:pStyle w:val="BodyText"/>
              <w:rPr>
                <w:lang w:val="en-NZ"/>
              </w:rPr>
            </w:pPr>
            <w:r w:rsidRPr="006D51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AD" w:rsidP="006D51AD">
            <w:pPr>
              <w:pStyle w:val="ListBullet"/>
            </w:pPr>
            <w:r w:rsidRPr="006D51AD">
              <w:t xml:space="preserve">alternative valuation methods </w:t>
            </w:r>
          </w:p>
          <w:p w:rsidR="00000000" w:rsidRPr="006D51AD" w:rsidP="006D51AD">
            <w:pPr>
              <w:pStyle w:val="ListBullet"/>
            </w:pPr>
            <w:r w:rsidRPr="006D51AD">
              <w:t xml:space="preserve">date and place of export </w:t>
            </w:r>
          </w:p>
          <w:p w:rsidR="00000000" w:rsidRPr="006D51AD" w:rsidP="006D51AD">
            <w:pPr>
              <w:pStyle w:val="ListBullet"/>
            </w:pPr>
            <w:r w:rsidRPr="006D51AD">
              <w:t>date of valuation</w:t>
            </w:r>
            <w:r w:rsidRPr="006D51AD">
              <w:t xml:space="preserve"> </w:t>
            </w:r>
          </w:p>
          <w:p w:rsidR="00000000" w:rsidRPr="006D51AD" w:rsidP="006D51AD">
            <w:pPr>
              <w:pStyle w:val="ListBullet"/>
            </w:pPr>
            <w:r w:rsidRPr="006D51AD">
              <w:t>factorisation of costs against goods</w:t>
            </w:r>
          </w:p>
          <w:p w:rsidR="00000000" w:rsidRPr="006D51AD" w:rsidP="006D51AD">
            <w:pPr>
              <w:pStyle w:val="ListBullet"/>
            </w:pPr>
            <w:r w:rsidRPr="006D51AD">
              <w:t>price-related costs</w:t>
            </w:r>
          </w:p>
          <w:p w:rsidR="00000000" w:rsidRPr="006D51AD" w:rsidP="006D51AD">
            <w:pPr>
              <w:pStyle w:val="ListBullet"/>
            </w:pPr>
            <w:r w:rsidRPr="006D51AD">
              <w:t>problems that may arise when determining customs valuations.</w:t>
            </w:r>
          </w:p>
          <w:p w:rsidR="00000000" w:rsidRPr="006D51AD" w:rsidP="006D51AD">
            <w:pPr>
              <w:pStyle w:val="ListBullet"/>
            </w:pPr>
            <w:r w:rsidRPr="006D51AD">
              <w:t>rebates</w:t>
            </w:r>
          </w:p>
          <w:p w:rsidR="00000000" w:rsidRPr="006D51AD" w:rsidP="006D51AD">
            <w:pPr>
              <w:pStyle w:val="ListBullet"/>
            </w:pPr>
            <w:r w:rsidRPr="006D51AD">
              <w:t>valuation provisions in accordance with Customs Act</w:t>
            </w:r>
          </w:p>
          <w:p w:rsidR="00000000" w:rsidRPr="006D51AD" w:rsidP="006D51AD">
            <w:pPr>
              <w:pStyle w:val="ListBullet"/>
            </w:pPr>
            <w:r w:rsidRPr="006D51AD">
              <w:t>World Trade Organization (WTO) Customs Valuation Agreement.</w:t>
            </w:r>
          </w:p>
        </w:tc>
      </w:tr>
    </w:tbl>
    <w:p w:rsidR="00F96496" w:rsidP="006D51AD">
      <w:pPr>
        <w:pStyle w:val="NoPaddingFontSize1"/>
      </w:pPr>
    </w:p>
    <w:p w:rsidR="00F96496" w:rsidP="006D51AD">
      <w:pPr>
        <w:pStyle w:val="NoPaddingFontSize1"/>
      </w:pPr>
    </w:p>
    <w:p w:rsidR="00000000" w:rsidRPr="006D51AD" w:rsidP="006D51AD">
      <w:pPr>
        <w:pStyle w:val="Heading1"/>
      </w:pPr>
      <w:bookmarkStart w:id="4" w:name="O_1232652"/>
      <w:bookmarkEnd w:id="4"/>
      <w:r w:rsidRPr="006D51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1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1AD" w:rsidP="006D51AD">
            <w:pPr>
              <w:pStyle w:val="BodyText"/>
            </w:pPr>
            <w:r w:rsidRPr="006D51AD">
              <w:t xml:space="preserve">Assessors must hold credentials specified within the Standards for Registered Training Organisations current at the time of assessment. </w:t>
            </w:r>
          </w:p>
          <w:p w:rsidR="00000000" w:rsidRPr="006D51AD" w:rsidP="006D51AD">
            <w:pPr>
              <w:pStyle w:val="BodyText"/>
            </w:pPr>
            <w:r w:rsidRPr="006D51AD">
              <w:t>Assessment must satisfy the Principles of Assessment and Rules of Evidence and all regul</w:t>
            </w:r>
            <w:r w:rsidRPr="006D51AD">
              <w:t xml:space="preserve">atory requirements included within the Standards for Registered Training Organisations current at the </w:t>
            </w:r>
            <w:r w:rsidRPr="006D51AD">
              <w:t>time of assessment.</w:t>
            </w:r>
          </w:p>
          <w:p w:rsidR="00000000" w:rsidRPr="006D51AD" w:rsidP="006D51AD">
            <w:pPr>
              <w:pStyle w:val="BodyText"/>
            </w:pPr>
            <w:r w:rsidRPr="006D51AD">
              <w:t xml:space="preserve">Assessment must occur in workplace operational situations where it is appropriate to do so; where this is not appropriate, assessment </w:t>
            </w:r>
            <w:r w:rsidRPr="006D51AD">
              <w:t>must occur in simulated workplace operational situations that replicate workplace conditions.</w:t>
            </w:r>
          </w:p>
          <w:p w:rsidR="00000000" w:rsidRPr="006D51AD" w:rsidP="006D51AD">
            <w:pPr>
              <w:pStyle w:val="BodyText"/>
            </w:pPr>
            <w:r w:rsidRPr="006D51AD">
              <w:t>Assessment processes and techniques must be appropriate to the language, literacy and numeracy requirements of the work being performed and the needs of the candi</w:t>
            </w:r>
            <w:r w:rsidRPr="006D51AD">
              <w:t>date.</w:t>
            </w:r>
          </w:p>
          <w:p w:rsidR="00000000" w:rsidRPr="006D51AD" w:rsidP="006D51AD">
            <w:pPr>
              <w:pStyle w:val="BodyText"/>
            </w:pPr>
            <w:r w:rsidRPr="006D51AD">
              <w:t>Resources for assessment must include access to:</w:t>
            </w:r>
          </w:p>
          <w:p w:rsidR="00000000" w:rsidRPr="006D51AD" w:rsidP="006D51AD">
            <w:pPr>
              <w:pStyle w:val="ListBullet"/>
            </w:pPr>
            <w:r w:rsidRPr="006D51AD">
              <w:t>a range of relevant exercises, case studies and/or simulations</w:t>
            </w:r>
          </w:p>
          <w:p w:rsidR="00000000" w:rsidRPr="006D51AD" w:rsidP="006D51AD">
            <w:pPr>
              <w:pStyle w:val="ListBullet"/>
            </w:pPr>
            <w:r w:rsidRPr="006D51AD">
              <w:t>applicable documentation including workplace procedures, regulations, codes of practice and operation manuals.</w:t>
            </w:r>
          </w:p>
        </w:tc>
      </w:tr>
    </w:tbl>
    <w:p w:rsidR="00F96496" w:rsidP="006D51AD">
      <w:pPr>
        <w:pStyle w:val="NoPaddingFontSize1"/>
      </w:pPr>
    </w:p>
    <w:p w:rsidR="00F96496" w:rsidP="006D51AD">
      <w:pPr>
        <w:pStyle w:val="NoPaddingFontSize1"/>
      </w:pPr>
    </w:p>
    <w:p w:rsidR="00000000" w:rsidRPr="006D51AD" w:rsidP="006D51AD">
      <w:pPr>
        <w:pStyle w:val="Heading1"/>
      </w:pPr>
      <w:bookmarkStart w:id="5" w:name="O_1232655"/>
      <w:bookmarkEnd w:id="5"/>
      <w:r w:rsidRPr="006D51AD">
        <w:t>Links</w:t>
      </w:r>
    </w:p>
    <w:p w:rsidR="00000000" w:rsidRPr="006D51AD" w:rsidP="00F96496">
      <w:pPr>
        <w:pStyle w:val="BodyText"/>
      </w:pPr>
      <w:r w:rsidRPr="006D5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B2A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51AD" w:rsidP="006D51AD"/>
    <w:sectPr w:rsidSect="006D5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AD" w:rsidRPr="00F96496" w:rsidP="00F96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 w:rsidP="006D5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496" w:rsidP="006D5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96496" w:rsidP="006D5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1AD" w:rsidRPr="00F96496" w:rsidP="00F96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96" w:rsidRPr="002D2AF8" w:rsidP="006D5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TLIX0039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96496" w:rsidP="006D5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3AB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48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1AD"/>
  </w:style>
  <w:style w:type="character" w:customStyle="1" w:styleId="Heading1Char">
    <w:name w:val="Heading 1 Char"/>
    <w:basedOn w:val="DefaultParagraphFont"/>
    <w:link w:val="Heading1"/>
    <w:rsid w:val="006D5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1AD"/>
    <w:rPr>
      <w:b/>
      <w:spacing w:val="0"/>
    </w:rPr>
  </w:style>
  <w:style w:type="paragraph" w:customStyle="1" w:styleId="SuperHeading">
    <w:name w:val="SuperHeading"/>
    <w:basedOn w:val="Normal"/>
    <w:rsid w:val="006D5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1AD"/>
    <w:rPr>
      <w:i/>
    </w:rPr>
  </w:style>
  <w:style w:type="paragraph" w:styleId="Caption">
    <w:name w:val="caption"/>
    <w:basedOn w:val="BodyText"/>
    <w:next w:val="Normal"/>
    <w:qFormat/>
    <w:rsid w:val="006D5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1AD"/>
  </w:style>
  <w:style w:type="paragraph" w:styleId="TableofFigures">
    <w:name w:val="table of figures"/>
    <w:basedOn w:val="Normal"/>
    <w:next w:val="Normal"/>
    <w:semiHidden/>
    <w:rsid w:val="006D5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1AD"/>
    <w:rPr>
      <w:rFonts w:ascii="Wingdings" w:hAnsi="Wingdings"/>
    </w:rPr>
  </w:style>
  <w:style w:type="paragraph" w:customStyle="1" w:styleId="TableHeading">
    <w:name w:val="Table Heading"/>
    <w:basedOn w:val="HeadingBase"/>
    <w:rsid w:val="006D5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1AD"/>
    <w:rPr>
      <w:color w:val="0033CC"/>
      <w:u w:val="none"/>
    </w:rPr>
  </w:style>
  <w:style w:type="paragraph" w:customStyle="1" w:styleId="BodyTextRight">
    <w:name w:val="Body Text Right"/>
    <w:basedOn w:val="BodyText"/>
    <w:rsid w:val="006D5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1AD"/>
    <w:rPr>
      <w:sz w:val="32"/>
    </w:rPr>
  </w:style>
  <w:style w:type="paragraph" w:customStyle="1" w:styleId="HeadingProcedure">
    <w:name w:val="Heading Procedure"/>
    <w:basedOn w:val="HeadingBase"/>
    <w:next w:val="Normal"/>
    <w:rsid w:val="006D5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1AD"/>
    <w:pPr>
      <w:spacing w:before="60" w:after="60"/>
    </w:pPr>
  </w:style>
  <w:style w:type="paragraph" w:styleId="ListContinue">
    <w:name w:val="List Continue"/>
    <w:basedOn w:val="List"/>
    <w:rsid w:val="006D51AD"/>
    <w:pPr>
      <w:ind w:firstLine="0"/>
    </w:pPr>
  </w:style>
  <w:style w:type="paragraph" w:customStyle="1" w:styleId="ListNote">
    <w:name w:val="List Note"/>
    <w:basedOn w:val="List"/>
    <w:rsid w:val="006D5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1AD"/>
    <w:rPr>
      <w:rFonts w:ascii="Courier New" w:hAnsi="Courier New"/>
    </w:rPr>
  </w:style>
  <w:style w:type="paragraph" w:customStyle="1" w:styleId="NoteBullet">
    <w:name w:val="Note Bullet"/>
    <w:basedOn w:val="Note"/>
    <w:rsid w:val="006D5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1AD"/>
    <w:rPr>
      <w:b/>
      <w:smallCaps/>
    </w:rPr>
  </w:style>
  <w:style w:type="paragraph" w:customStyle="1" w:styleId="TableListNumber">
    <w:name w:val="Table List Number"/>
    <w:basedOn w:val="ListNumber"/>
    <w:rsid w:val="006D5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1AD"/>
    <w:pPr>
      <w:numPr>
        <w:numId w:val="8"/>
      </w:numPr>
    </w:pPr>
  </w:style>
  <w:style w:type="paragraph" w:customStyle="1" w:styleId="ListAlpha2">
    <w:name w:val="List Alpha 2"/>
    <w:basedOn w:val="List2"/>
    <w:rsid w:val="006D51AD"/>
    <w:pPr>
      <w:numPr>
        <w:numId w:val="7"/>
      </w:numPr>
    </w:pPr>
  </w:style>
  <w:style w:type="paragraph" w:styleId="List2">
    <w:name w:val="List 2"/>
    <w:basedOn w:val="BodyText"/>
    <w:rsid w:val="006D5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1AD"/>
    <w:pPr>
      <w:numPr>
        <w:numId w:val="3"/>
      </w:numPr>
    </w:pPr>
  </w:style>
  <w:style w:type="paragraph" w:styleId="ListContinue2">
    <w:name w:val="List Continue 2"/>
    <w:basedOn w:val="List2"/>
    <w:rsid w:val="006D51AD"/>
    <w:pPr>
      <w:ind w:firstLine="0"/>
    </w:pPr>
  </w:style>
  <w:style w:type="paragraph" w:styleId="ListContinue3">
    <w:name w:val="List Continue 3"/>
    <w:basedOn w:val="List3"/>
    <w:rsid w:val="006D51AD"/>
    <w:pPr>
      <w:ind w:left="1021" w:firstLine="0"/>
    </w:pPr>
  </w:style>
  <w:style w:type="paragraph" w:styleId="ListContinue4">
    <w:name w:val="List Continue 4"/>
    <w:basedOn w:val="List4"/>
    <w:rsid w:val="006D51AD"/>
    <w:pPr>
      <w:ind w:firstLine="0"/>
    </w:pPr>
  </w:style>
  <w:style w:type="paragraph" w:styleId="ListContinue5">
    <w:name w:val="List Continue 5"/>
    <w:basedOn w:val="List5"/>
    <w:rsid w:val="006D51AD"/>
    <w:pPr>
      <w:ind w:firstLine="0"/>
    </w:pPr>
  </w:style>
  <w:style w:type="paragraph" w:styleId="ListNumber3">
    <w:name w:val="List Number 3"/>
    <w:basedOn w:val="List3"/>
    <w:rsid w:val="006D51AD"/>
    <w:pPr>
      <w:numPr>
        <w:numId w:val="4"/>
      </w:numPr>
    </w:pPr>
  </w:style>
  <w:style w:type="paragraph" w:styleId="ListNumber4">
    <w:name w:val="List Number 4"/>
    <w:basedOn w:val="List4"/>
    <w:rsid w:val="006D51AD"/>
    <w:pPr>
      <w:numPr>
        <w:numId w:val="5"/>
      </w:numPr>
    </w:pPr>
  </w:style>
  <w:style w:type="paragraph" w:styleId="ListNumber5">
    <w:name w:val="List Number 5"/>
    <w:basedOn w:val="List5"/>
    <w:rsid w:val="006D51AD"/>
    <w:pPr>
      <w:numPr>
        <w:numId w:val="6"/>
      </w:numPr>
    </w:pPr>
  </w:style>
  <w:style w:type="paragraph" w:styleId="BlockText">
    <w:name w:val="Block Text"/>
    <w:basedOn w:val="Normal"/>
    <w:rsid w:val="006D5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1AD"/>
    <w:rPr>
      <w:sz w:val="16"/>
      <w:vertAlign w:val="superscript"/>
    </w:rPr>
  </w:style>
  <w:style w:type="character" w:customStyle="1" w:styleId="Symbols">
    <w:name w:val="Symbols"/>
    <w:basedOn w:val="DefaultParagraphFont"/>
    <w:rsid w:val="006D51AD"/>
    <w:rPr>
      <w:rFonts w:ascii="Symbol" w:hAnsi="Symbol"/>
    </w:rPr>
  </w:style>
  <w:style w:type="character" w:customStyle="1" w:styleId="MenuOptions">
    <w:name w:val="Menu Options"/>
    <w:basedOn w:val="DefaultParagraphFont"/>
    <w:rsid w:val="006D5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1AD"/>
    <w:rPr>
      <w:b/>
    </w:rPr>
  </w:style>
  <w:style w:type="character" w:customStyle="1" w:styleId="Underlined">
    <w:name w:val="Underlined"/>
    <w:basedOn w:val="DefaultParagraphFont"/>
    <w:rsid w:val="006D51AD"/>
    <w:rPr>
      <w:u w:val="single"/>
    </w:rPr>
  </w:style>
  <w:style w:type="paragraph" w:customStyle="1" w:styleId="TableBodyTextRight">
    <w:name w:val="Table Body Text Right"/>
    <w:basedOn w:val="TableBodyText"/>
    <w:rsid w:val="006D5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1AD"/>
    <w:rPr>
      <w:sz w:val="18"/>
    </w:rPr>
  </w:style>
  <w:style w:type="paragraph" w:customStyle="1" w:styleId="BodySmallRight">
    <w:name w:val="Body Small Right"/>
    <w:basedOn w:val="BodyTextRight"/>
    <w:rsid w:val="006D51AD"/>
    <w:rPr>
      <w:sz w:val="18"/>
      <w:szCs w:val="18"/>
    </w:rPr>
  </w:style>
  <w:style w:type="paragraph" w:customStyle="1" w:styleId="MarginEdition">
    <w:name w:val="Margin Edition"/>
    <w:basedOn w:val="MarginNote"/>
    <w:rsid w:val="006D5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1AD"/>
    <w:rPr>
      <w:sz w:val="2"/>
      <w:szCs w:val="2"/>
    </w:rPr>
  </w:style>
  <w:style w:type="character" w:customStyle="1" w:styleId="Small">
    <w:name w:val="Small"/>
    <w:basedOn w:val="DefaultParagraphFont"/>
    <w:rsid w:val="006D51AD"/>
    <w:rPr>
      <w:sz w:val="16"/>
    </w:rPr>
  </w:style>
  <w:style w:type="paragraph" w:customStyle="1" w:styleId="WideTable">
    <w:name w:val="Wide Table"/>
    <w:basedOn w:val="Normal"/>
    <w:rsid w:val="006D5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1AD"/>
  </w:style>
  <w:style w:type="paragraph" w:styleId="Quote">
    <w:name w:val="Quote"/>
    <w:basedOn w:val="Heading1"/>
    <w:link w:val="QuoteChar"/>
    <w:qFormat/>
    <w:rsid w:val="006D5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1AD"/>
    <w:pPr>
      <w:pageBreakBefore/>
    </w:pPr>
  </w:style>
  <w:style w:type="paragraph" w:customStyle="1" w:styleId="Border">
    <w:name w:val="Border"/>
    <w:basedOn w:val="Normal"/>
    <w:qFormat/>
    <w:rsid w:val="006D5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1AD"/>
    <w:rPr>
      <w:u w:val="single"/>
    </w:rPr>
  </w:style>
  <w:style w:type="character" w:customStyle="1" w:styleId="BoldandItalics">
    <w:name w:val="Bold and Italics"/>
    <w:qFormat/>
    <w:rsid w:val="006D51AD"/>
    <w:rPr>
      <w:b/>
      <w:i/>
      <w:u w:val="none"/>
    </w:rPr>
  </w:style>
  <w:style w:type="paragraph" w:styleId="BalloonText">
    <w:name w:val="Balloon Text"/>
    <w:basedOn w:val="Normal"/>
    <w:link w:val="BalloonTextChar"/>
    <w:rsid w:val="006D5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1AD"/>
    <w:pPr>
      <w:spacing w:before="0" w:after="0"/>
    </w:pPr>
  </w:style>
  <w:style w:type="paragraph" w:customStyle="1" w:styleId="BodyTextBold">
    <w:name w:val="Body Text Bold"/>
    <w:basedOn w:val="BodyText"/>
    <w:qFormat/>
    <w:rsid w:val="006D51AD"/>
    <w:rPr>
      <w:b/>
    </w:rPr>
  </w:style>
  <w:style w:type="character" w:styleId="Hyperlink">
    <w:name w:val="Hyperlink"/>
    <w:basedOn w:val="DefaultParagraphFont"/>
    <w:uiPriority w:val="99"/>
    <w:unhideWhenUsed/>
    <w:rsid w:val="00F96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2299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TLIX0039 Determine customs value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