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DD2" w:rsidP="00C84DD2">
      <w:pPr>
        <w:pStyle w:val="Title"/>
      </w:pPr>
      <w:r>
        <w:fldChar w:fldCharType="begin"/>
      </w:r>
      <w:r>
        <w:instrText xml:space="preserve"> TITLE   \* MERGEFORMAT </w:instrText>
      </w:r>
      <w:r>
        <w:fldChar w:fldCharType="separate"/>
      </w:r>
      <w:r>
        <w:t>TLIX0037 Apply border clearance procedures</w:t>
      </w:r>
      <w:r>
        <w:fldChar w:fldCharType="end"/>
      </w:r>
    </w:p>
    <w:p w:rsidR="00C84DD2" w:rsidP="00C84DD2">
      <w:pPr>
        <w:pStyle w:val="Version"/>
        <w:sectPr w:rsidSect="005F7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9AE" w:rsidP="005F79AE">
      <w:pPr>
        <w:pStyle w:val="SuperHeading"/>
      </w:pPr>
      <w:r w:rsidRPr="005F79AE">
        <w:t>TLIX0037 Apply border clearance procedures</w:t>
      </w:r>
    </w:p>
    <w:p w:rsidR="00000000" w:rsidRPr="005F79AE" w:rsidP="005F79AE">
      <w:pPr>
        <w:pStyle w:val="Heading1"/>
      </w:pPr>
      <w:bookmarkStart w:id="1" w:name="O_1232601"/>
      <w:bookmarkEnd w:id="1"/>
      <w:r w:rsidRPr="005F79AE">
        <w:t>Modification History</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 xml:space="preserve">Release 1. </w:t>
            </w:r>
            <w:r w:rsidRPr="005F79AE">
              <w:t>This is the first release of this unit of competency in the TLI Transport and Logistics Training Package.</w:t>
            </w:r>
          </w:p>
        </w:tc>
      </w:tr>
    </w:tbl>
    <w:p w:rsidR="00C84DD2" w:rsidP="005F79AE">
      <w:pPr>
        <w:pStyle w:val="NoPaddingFontSize1"/>
      </w:pPr>
    </w:p>
    <w:p w:rsidR="00C84DD2" w:rsidP="005F79AE">
      <w:pPr>
        <w:pStyle w:val="NoPaddingFontSize1"/>
      </w:pPr>
    </w:p>
    <w:p w:rsidR="00000000" w:rsidRPr="005F79AE" w:rsidP="005F79AE">
      <w:pPr>
        <w:pStyle w:val="Heading1"/>
      </w:pPr>
      <w:bookmarkStart w:id="2" w:name="O_1232602"/>
      <w:bookmarkEnd w:id="2"/>
      <w:r w:rsidRPr="005F79AE">
        <w:t>Application</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This unit involves the skills and knowledge required to apply customs clearance proc</w:t>
            </w:r>
            <w:r w:rsidRPr="005F79AE">
              <w:t>edures.</w:t>
            </w:r>
          </w:p>
          <w:p w:rsidR="00000000" w:rsidRPr="005F79AE" w:rsidP="005F79AE">
            <w:pPr>
              <w:pStyle w:val="BodyText"/>
            </w:pPr>
            <w:r w:rsidRPr="005F79AE">
              <w:t>This unit includes identifying customs clearance processes and potential problems. It also includes determining if customs clearance by Self Assessed Clearance (SAC) is appropriate for the subject consignment and identifying and determining type of</w:t>
            </w:r>
            <w:r w:rsidRPr="005F79AE">
              <w:t xml:space="preserve"> formal import declaration requirements and goods are dealt with in accordance the clearance received.</w:t>
            </w:r>
          </w:p>
          <w:p w:rsidR="00000000" w:rsidRPr="005F79AE" w:rsidP="005F79AE">
            <w:pPr>
              <w:pStyle w:val="BodyText"/>
            </w:pPr>
            <w:r w:rsidRPr="005F79AE">
              <w:t>Work is undertaken in a range of environments, including small to large worksites, in the customs broking and international supply chain industries.</w:t>
            </w:r>
          </w:p>
          <w:p w:rsidR="00000000" w:rsidRPr="005F79AE" w:rsidP="005F79AE">
            <w:pPr>
              <w:pStyle w:val="BodyText"/>
            </w:pPr>
            <w:r w:rsidRPr="005F79AE">
              <w:t>No l</w:t>
            </w:r>
            <w:r w:rsidRPr="005F79AE">
              <w:t>icensing, legislative or certification requirements apply to this unit at the time of publication.</w:t>
            </w:r>
          </w:p>
        </w:tc>
      </w:tr>
    </w:tbl>
    <w:p w:rsidR="00C84DD2" w:rsidP="005F79AE">
      <w:pPr>
        <w:pStyle w:val="NoPaddingFontSize1"/>
      </w:pPr>
    </w:p>
    <w:p w:rsidR="00C84DD2" w:rsidP="005F79AE">
      <w:pPr>
        <w:pStyle w:val="NoPaddingFontSize1"/>
      </w:pPr>
    </w:p>
    <w:p w:rsidR="00000000" w:rsidRPr="005F79AE" w:rsidP="005F79AE">
      <w:pPr>
        <w:pStyle w:val="Heading1"/>
      </w:pPr>
      <w:bookmarkStart w:id="3" w:name="O_1232603"/>
      <w:bookmarkEnd w:id="3"/>
      <w:r w:rsidRPr="005F79AE">
        <w:t>Pre-requisite Unit</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Not applicable.</w:t>
            </w:r>
          </w:p>
        </w:tc>
      </w:tr>
    </w:tbl>
    <w:p w:rsidR="00C84DD2" w:rsidP="005F79AE">
      <w:pPr>
        <w:pStyle w:val="NoPaddingFontSize1"/>
      </w:pPr>
    </w:p>
    <w:p w:rsidR="00C84DD2" w:rsidP="005F79AE">
      <w:pPr>
        <w:pStyle w:val="NoPaddingFontSize1"/>
      </w:pPr>
    </w:p>
    <w:p w:rsidR="00000000" w:rsidRPr="005F79AE" w:rsidP="005F79AE">
      <w:pPr>
        <w:pStyle w:val="Heading1"/>
      </w:pPr>
      <w:bookmarkStart w:id="4" w:name="O_1232604"/>
      <w:bookmarkEnd w:id="4"/>
      <w:r w:rsidRPr="005F79AE">
        <w:t>Competency Field</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X – Logistics</w:t>
            </w:r>
          </w:p>
        </w:tc>
      </w:tr>
    </w:tbl>
    <w:p w:rsidR="00C84DD2" w:rsidP="005F79AE">
      <w:pPr>
        <w:pStyle w:val="NoPaddingFontSize1"/>
      </w:pPr>
    </w:p>
    <w:p w:rsidR="00C84DD2" w:rsidP="005F79AE">
      <w:pPr>
        <w:pStyle w:val="NoPaddingFontSize1"/>
      </w:pPr>
    </w:p>
    <w:p w:rsidR="00000000" w:rsidRPr="005F79AE" w:rsidP="005F79AE">
      <w:pPr>
        <w:pStyle w:val="Heading1"/>
      </w:pPr>
      <w:bookmarkStart w:id="5" w:name="O_1232605"/>
      <w:bookmarkEnd w:id="5"/>
      <w:r w:rsidRPr="005F79AE">
        <w:t>Unit Sector</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Customs Broking.</w:t>
            </w:r>
          </w:p>
        </w:tc>
      </w:tr>
    </w:tbl>
    <w:p w:rsidR="00C84DD2" w:rsidP="005F79AE">
      <w:pPr>
        <w:pStyle w:val="NoPaddingFontSize1"/>
      </w:pPr>
    </w:p>
    <w:p w:rsidR="00C84DD2" w:rsidP="005F79AE">
      <w:pPr>
        <w:pStyle w:val="NoPaddingFontSize1"/>
      </w:pPr>
    </w:p>
    <w:p w:rsidR="00000000" w:rsidRPr="005F79AE" w:rsidP="005F79AE">
      <w:pPr>
        <w:pStyle w:val="Heading1"/>
      </w:pPr>
      <w:bookmarkStart w:id="6" w:name="O_1232606"/>
      <w:bookmarkEnd w:id="6"/>
      <w:r w:rsidRPr="005F79AE">
        <w:t>Elements and Performance Criteria</w:t>
      </w:r>
    </w:p>
    <w:tbl>
      <w:tblPr>
        <w:tblW w:w="9497" w:type="dxa"/>
        <w:tblLayout w:type="fixed"/>
        <w:tblCellMar>
          <w:left w:w="62" w:type="dxa"/>
          <w:right w:w="62" w:type="dxa"/>
        </w:tblCellMar>
        <w:tblLook w:val="0000"/>
      </w:tblPr>
      <w:tblGrid>
        <w:gridCol w:w="530"/>
        <w:gridCol w:w="2728"/>
        <w:gridCol w:w="720"/>
        <w:gridCol w:w="5519"/>
      </w:tblGrid>
      <w:tr w:rsidTr="005F79AE">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PERFORMANCE CRITERIA</w:t>
            </w:r>
          </w:p>
        </w:tc>
      </w:tr>
      <w:tr w:rsidTr="005F79AE">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Performance criteria describe the performance needed to demonstrate achievement of the element.</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 xml:space="preserve">1 </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Manage</w:t>
            </w:r>
            <w:r w:rsidRPr="005F79AE">
              <w:t xml:space="preserve"> </w:t>
            </w:r>
            <w:r w:rsidRPr="005F79AE">
              <w:rPr>
                <w:rStyle w:val="SpecialBold"/>
              </w:rPr>
              <w:t>customs clearance processes</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Information supplied for customs clearance is confirmed as compliant with regulatory requirements</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 xml:space="preserve">Missing or ambiguous documents and/or information </w:t>
            </w:r>
            <w:r w:rsidRPr="005F79AE">
              <w:t>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1.3</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Consignments not requiring formal declaration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1.4</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Consignments requiring formal declaration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2</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Identify</w:t>
            </w:r>
            <w:r w:rsidRPr="005F79AE">
              <w:t xml:space="preserve"> p</w:t>
            </w:r>
            <w:r w:rsidRPr="005F79AE">
              <w:rPr>
                <w:rStyle w:val="SpecialBold"/>
              </w:rPr>
              <w:t xml:space="preserve">otential problems in customs clearance </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2.1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Requirements for import clearance transactions are determined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2.2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Poten</w:t>
            </w:r>
            <w:r w:rsidRPr="005F79AE">
              <w:t>tial problems with customs clearance and appropriate actions to be undertaken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3</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Determine if customs clearance by SAC is appropriate for the subject consignment</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3.1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The eligibility of customs clearance by SAC is determined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3.2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Requirements of customs clearance by SAC are determined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4</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Identify and determine type of formal import declaration required</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4.1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Legislation and customs policy for goods required to be entered/not entered is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4.2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Goods requiring an import decla</w:t>
            </w:r>
            <w:r w:rsidRPr="005F79AE">
              <w:t>ration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4.3</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Types of import declaration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4.4</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Declaration for warehousing and ex-warehousing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4.5</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Requirements of input fields on declarations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4.6</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Processes</w:t>
            </w:r>
            <w:r w:rsidRPr="005F79AE">
              <w:t xml:space="preserve"> required to complete import and/or export declarations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5</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Determine date of entry for home consumption</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5.1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Date of entry for home consumption is identified in accordance with the Customs Act as amended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5.2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Advance entry provisions of the Customs Act as amended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6</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Finalise</w:t>
            </w:r>
            <w:r w:rsidRPr="005F79AE">
              <w:t xml:space="preserve"> i</w:t>
            </w:r>
            <w:r w:rsidRPr="005F79AE">
              <w:rPr>
                <w:rStyle w:val="SpecialBold"/>
              </w:rPr>
              <w:t xml:space="preserve">mport declarations </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6.1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Processes required to finalise and lodge import declarations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6.2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 xml:space="preserve">Necessity for import declaration amendments is </w:t>
            </w:r>
            <w:r w:rsidRPr="005F79AE">
              <w:t>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6.3</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Cont</w:t>
            </w:r>
            <w:r w:rsidRPr="005F79AE">
              <w:t>ingency arrangements for software application systems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7</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Goods are dealt with in accordance the clearance received</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7.1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Import declaration payment options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7.2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Consignment status is verified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7.3</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Consignment is dealt with in accordance with the authority to deal</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8</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Identify probable suspicious transactions and trader’s non-compliance tactics</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8.1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Probable mistakes/inconsistencies/discrepancies in import transactions are determined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8.2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Common indi</w:t>
            </w:r>
            <w:r w:rsidRPr="005F79AE">
              <w:t>cators of suspicious behaviour and activities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8.3</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Potential non-compliance tactics to evade detection and duties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9</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Apply procedures to withdraw an import declaration</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9.1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Double entries are identified and withdrawn</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9.2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Other import declarations not required are withdrawn in accordance with provisions of the Customs Act and associated regulations</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9.3</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Impact of withdrawal of an import declaration on the rate of customs duty payable is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10</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Calculate landed cost</w:t>
            </w:r>
            <w:r w:rsidRPr="005F79AE">
              <w:rPr>
                <w:rStyle w:val="SpecialBold"/>
              </w:rPr>
              <w:t>s</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10.1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Elements required to calculate a landed cost are identified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10.2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Contracted rate of exchange is determined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11</w:t>
            </w:r>
          </w:p>
        </w:tc>
        <w:tc>
          <w:tcPr>
            <w:tcW w:w="2728"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rPr>
                <w:rStyle w:val="SpecialBold"/>
              </w:rPr>
              <w:t>Identify</w:t>
            </w:r>
            <w:r w:rsidRPr="005F79AE">
              <w:t xml:space="preserve"> e</w:t>
            </w:r>
            <w:r w:rsidRPr="005F79AE">
              <w:rPr>
                <w:rStyle w:val="SpecialBold"/>
              </w:rPr>
              <w:t xml:space="preserve">xcise and excise equivalent goods </w:t>
            </w: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11.1</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Excise goods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11.2</w:t>
            </w:r>
          </w:p>
        </w:tc>
        <w:tc>
          <w:tcPr>
            <w:tcW w:w="5519"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t>Excise equivalent goods are explained</w:t>
            </w:r>
          </w:p>
        </w:tc>
      </w:tr>
      <w:tr w:rsidTr="005F79A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8" w:type="dxa"/>
            <w:tcBorders>
              <w:top w:val="nil"/>
              <w:left w:val="nil"/>
              <w:bottom w:val="nil"/>
              <w:right w:val="nil"/>
            </w:tcBorders>
            <w:tcMar>
              <w:top w:w="0" w:type="dxa"/>
              <w:left w:w="62" w:type="dxa"/>
              <w:bottom w:w="0" w:type="dxa"/>
              <w:right w:w="62" w:type="dxa"/>
            </w:tcMar>
          </w:tcPr>
          <w:p w:rsidR="00000000" w:rsidRPr="005F79AE">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5F79AE">
            <w:pPr>
              <w:pStyle w:val="BodyText"/>
              <w:rPr>
                <w:lang w:val="en-NZ"/>
              </w:rPr>
            </w:pPr>
            <w:r w:rsidRPr="005F79AE">
              <w:rPr>
                <w:rStyle w:val="SpecialBold"/>
              </w:rPr>
              <w:t>11.3</w:t>
            </w:r>
          </w:p>
        </w:tc>
        <w:tc>
          <w:tcPr>
            <w:tcW w:w="5519"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Reporting requirements for excise and excise equivalent goods are explained</w:t>
            </w:r>
          </w:p>
        </w:tc>
      </w:tr>
    </w:tbl>
    <w:p w:rsidR="00C84DD2" w:rsidP="005F79AE">
      <w:pPr>
        <w:pStyle w:val="NoPaddingFontSize1"/>
      </w:pPr>
    </w:p>
    <w:p w:rsidR="00C84DD2" w:rsidP="005F79AE">
      <w:pPr>
        <w:pStyle w:val="NoPaddingFontSize1"/>
      </w:pPr>
    </w:p>
    <w:p w:rsidR="00000000" w:rsidRPr="005F79AE" w:rsidP="005F79AE">
      <w:pPr>
        <w:pStyle w:val="Heading1"/>
      </w:pPr>
      <w:bookmarkStart w:id="7" w:name="O_1232607"/>
      <w:bookmarkEnd w:id="7"/>
      <w:r w:rsidRPr="005F79AE">
        <w:t>Foundation Skills</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Foundation skills essential to performance are explicit in the performance criteria of this unit of competency.</w:t>
            </w:r>
          </w:p>
        </w:tc>
      </w:tr>
    </w:tbl>
    <w:p w:rsidR="00C84DD2" w:rsidP="005F79AE">
      <w:pPr>
        <w:pStyle w:val="NoPaddingFontSize1"/>
      </w:pPr>
    </w:p>
    <w:p w:rsidR="00C84DD2" w:rsidP="005F79AE">
      <w:pPr>
        <w:pStyle w:val="NoPaddingFontSize1"/>
      </w:pPr>
    </w:p>
    <w:p w:rsidR="00000000" w:rsidRPr="005F79AE" w:rsidP="005F79AE">
      <w:pPr>
        <w:pStyle w:val="Heading1"/>
      </w:pPr>
      <w:bookmarkStart w:id="8" w:name="O_1232608"/>
      <w:bookmarkEnd w:id="8"/>
      <w:r w:rsidRPr="005F79AE">
        <w:t>Range of Conditions</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Range is restricted to essential operating conditions and any other variables essential to the work environment.</w:t>
            </w:r>
          </w:p>
          <w:p w:rsidR="00000000" w:rsidRPr="005F79AE" w:rsidP="005F79AE">
            <w:pPr>
              <w:pStyle w:val="BodyText"/>
            </w:pPr>
            <w:r w:rsidRPr="005F79AE">
              <w:t>Non-essential conditions can be found in the TLI Transport and Logistics Training Package Companion Volume Implementation G</w:t>
            </w:r>
            <w:r w:rsidRPr="005F79AE">
              <w:t>uide.</w:t>
            </w:r>
          </w:p>
        </w:tc>
      </w:tr>
    </w:tbl>
    <w:p w:rsidR="00C84DD2" w:rsidP="005F79AE">
      <w:pPr>
        <w:pStyle w:val="NoPaddingFontSize1"/>
      </w:pPr>
    </w:p>
    <w:p w:rsidR="00C84DD2" w:rsidP="005F79AE">
      <w:pPr>
        <w:pStyle w:val="NoPaddingFontSize1"/>
      </w:pPr>
    </w:p>
    <w:p w:rsidR="00000000" w:rsidRPr="005F79AE" w:rsidP="005F79AE">
      <w:pPr>
        <w:pStyle w:val="Heading1"/>
      </w:pPr>
      <w:bookmarkStart w:id="9" w:name="O_1232609"/>
      <w:bookmarkEnd w:id="9"/>
      <w:r w:rsidRPr="005F79AE">
        <w:t>Unit Mapping Information</w:t>
      </w:r>
    </w:p>
    <w:tbl>
      <w:tblPr>
        <w:tblW w:w="9497" w:type="dxa"/>
        <w:tblLayout w:type="fixed"/>
        <w:tblCellMar>
          <w:left w:w="62" w:type="dxa"/>
          <w:right w:w="62" w:type="dxa"/>
        </w:tblCellMar>
        <w:tblLook w:val="0000"/>
      </w:tblPr>
      <w:tblGrid>
        <w:gridCol w:w="9497"/>
      </w:tblGrid>
      <w:tr w:rsidTr="005F7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9AE" w:rsidP="005F79AE">
            <w:pPr>
              <w:pStyle w:val="BodyText"/>
            </w:pPr>
            <w:r w:rsidRPr="005F79AE">
              <w:t>This unit replaces but is not equivalent to TLIX5046 Carry out standard customs clearance practices.</w:t>
            </w:r>
          </w:p>
        </w:tc>
      </w:tr>
    </w:tbl>
    <w:p w:rsidR="00C84DD2" w:rsidP="005F79AE">
      <w:pPr>
        <w:pStyle w:val="NoPaddingFontSize1"/>
      </w:pPr>
    </w:p>
    <w:p w:rsidR="00C84DD2" w:rsidP="005F79AE">
      <w:pPr>
        <w:pStyle w:val="NoPaddingFontSize1"/>
      </w:pPr>
    </w:p>
    <w:p w:rsidR="00000000" w:rsidRPr="005F79AE" w:rsidP="005F79AE">
      <w:pPr>
        <w:pStyle w:val="Heading1"/>
      </w:pPr>
      <w:bookmarkStart w:id="10" w:name="O_1232616"/>
      <w:bookmarkEnd w:id="10"/>
      <w:r w:rsidRPr="005F79AE">
        <w:t>Links</w:t>
      </w:r>
    </w:p>
    <w:p w:rsidR="00000000" w:rsidRPr="005F79AE" w:rsidP="00C84DD2">
      <w:pPr>
        <w:pStyle w:val="BodyText"/>
      </w:pPr>
      <w:r w:rsidRPr="005F79AE">
        <w:t>Companion Volume Im</w:t>
      </w:r>
      <w:r w:rsidRPr="005F79AE">
        <w:t xml:space="preserve">plementation Guides are found in VETNet - </w:t>
      </w:r>
      <w:r>
        <w:fldChar w:fldCharType="begin"/>
      </w:r>
      <w:r>
        <w:instrText xml:space="preserve"> HYPERLINK "https://vetnet.gov.au/Pages/TrainingDocs.aspx?q=df441c6e-213d-43e3-874c-0b3f7036d851" </w:instrText>
      </w:r>
      <w:r>
        <w:fldChar w:fldCharType="separate"/>
      </w:r>
      <w:r w:rsidRPr="00DE2083">
        <w:rPr>
          <w:rStyle w:val="Hyperlink"/>
        </w:rPr>
        <w:t>https://vetnet.gov.au/Pages/TrainingDocs.aspx?q=df441c6e-213d-43e3-874c-0b3f7036d851</w:t>
      </w:r>
      <w:r>
        <w:fldChar w:fldCharType="end"/>
      </w:r>
    </w:p>
    <w:p w:rsidR="00000000" w:rsidRPr="005F79AE" w:rsidP="005F79AE"/>
    <w:sectPr w:rsidSect="005F79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E" w:rsidRPr="00C84DD2" w:rsidP="00C84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D2" w:rsidP="005F7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DD2" w:rsidP="005F79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84DD2" w:rsidP="005F7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9AE" w:rsidRPr="00C84DD2" w:rsidP="00C84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D2" w:rsidRPr="002D2AF8" w:rsidP="005F79AE">
    <w:pPr>
      <w:pStyle w:val="Header"/>
      <w:framePr w:wrap="around"/>
    </w:pPr>
    <w:r>
      <w:fldChar w:fldCharType="begin"/>
    </w:r>
    <w:r>
      <w:instrText xml:space="preserve"> TITLE   \* MERGEFORMAT </w:instrText>
    </w:r>
    <w:r>
      <w:fldChar w:fldCharType="separate"/>
    </w:r>
    <w:r>
      <w:t>TLIX0037 Apply border clearance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84DD2" w:rsidP="005F7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9AE"/>
    <w:pPr>
      <w:spacing w:before="360" w:after="60"/>
      <w:outlineLvl w:val="0"/>
    </w:pPr>
    <w:rPr>
      <w:sz w:val="32"/>
    </w:rPr>
  </w:style>
  <w:style w:type="paragraph" w:styleId="Heading2">
    <w:name w:val="heading 2"/>
    <w:basedOn w:val="HeadingBase"/>
    <w:next w:val="BodyText"/>
    <w:link w:val="Heading2Char"/>
    <w:qFormat/>
    <w:rsid w:val="005F79AE"/>
    <w:pPr>
      <w:keepLines/>
      <w:spacing w:before="240" w:after="120"/>
      <w:outlineLvl w:val="1"/>
    </w:pPr>
    <w:rPr>
      <w:sz w:val="28"/>
      <w:szCs w:val="40"/>
    </w:rPr>
  </w:style>
  <w:style w:type="paragraph" w:styleId="Heading3">
    <w:name w:val="heading 3"/>
    <w:basedOn w:val="HeadingBase"/>
    <w:next w:val="BodyText"/>
    <w:link w:val="Heading3Char"/>
    <w:qFormat/>
    <w:rsid w:val="005F79AE"/>
    <w:pPr>
      <w:spacing w:before="180" w:after="120"/>
      <w:outlineLvl w:val="2"/>
    </w:pPr>
    <w:rPr>
      <w:spacing w:val="-10"/>
      <w:kern w:val="32"/>
    </w:rPr>
  </w:style>
  <w:style w:type="paragraph" w:styleId="Heading4">
    <w:name w:val="heading 4"/>
    <w:basedOn w:val="HeadingBase"/>
    <w:next w:val="BodyText"/>
    <w:link w:val="Heading4Char"/>
    <w:qFormat/>
    <w:rsid w:val="005F79AE"/>
    <w:pPr>
      <w:spacing w:before="160" w:after="120"/>
      <w:outlineLvl w:val="3"/>
    </w:pPr>
    <w:rPr>
      <w:sz w:val="22"/>
    </w:rPr>
  </w:style>
  <w:style w:type="paragraph" w:styleId="Heading5">
    <w:name w:val="heading 5"/>
    <w:basedOn w:val="HeadingBase"/>
    <w:next w:val="Normal"/>
    <w:link w:val="Heading5Char"/>
    <w:qFormat/>
    <w:rsid w:val="005F79AE"/>
    <w:pPr>
      <w:spacing w:before="80"/>
      <w:outlineLvl w:val="4"/>
    </w:pPr>
    <w:rPr>
      <w:color w:val="918585"/>
      <w:sz w:val="20"/>
    </w:rPr>
  </w:style>
  <w:style w:type="paragraph" w:styleId="Heading6">
    <w:name w:val="heading 6"/>
    <w:basedOn w:val="HeadingBase"/>
    <w:next w:val="Normal"/>
    <w:link w:val="Heading6Char"/>
    <w:qFormat/>
    <w:rsid w:val="005F79AE"/>
    <w:pPr>
      <w:spacing w:before="60"/>
      <w:outlineLvl w:val="5"/>
    </w:pPr>
    <w:rPr>
      <w:color w:val="918585"/>
      <w:sz w:val="20"/>
    </w:rPr>
  </w:style>
  <w:style w:type="paragraph" w:styleId="Heading7">
    <w:name w:val="heading 7"/>
    <w:basedOn w:val="Normal"/>
    <w:next w:val="Normal"/>
    <w:link w:val="Heading7Char"/>
    <w:qFormat/>
    <w:rsid w:val="005F79AE"/>
    <w:pPr>
      <w:ind w:left="720"/>
      <w:outlineLvl w:val="6"/>
    </w:pPr>
    <w:rPr>
      <w:i/>
    </w:rPr>
  </w:style>
  <w:style w:type="paragraph" w:styleId="Heading8">
    <w:name w:val="heading 8"/>
    <w:basedOn w:val="Normal"/>
    <w:next w:val="Normal"/>
    <w:link w:val="Heading8Char"/>
    <w:qFormat/>
    <w:rsid w:val="005F79AE"/>
    <w:pPr>
      <w:ind w:left="720"/>
      <w:outlineLvl w:val="7"/>
    </w:pPr>
    <w:rPr>
      <w:i/>
    </w:rPr>
  </w:style>
  <w:style w:type="paragraph" w:styleId="Heading9">
    <w:name w:val="heading 9"/>
    <w:basedOn w:val="Normal"/>
    <w:next w:val="Normal"/>
    <w:link w:val="Heading9Char"/>
    <w:qFormat/>
    <w:rsid w:val="005F79AE"/>
    <w:pPr>
      <w:ind w:left="720"/>
      <w:outlineLvl w:val="8"/>
    </w:pPr>
    <w:rPr>
      <w:i/>
    </w:rPr>
  </w:style>
  <w:style w:type="character" w:default="1" w:styleId="DefaultParagraphFont">
    <w:name w:val="Default Paragraph Font"/>
    <w:uiPriority w:val="1"/>
    <w:unhideWhenUsed/>
    <w:rsid w:val="005F7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9AE"/>
  </w:style>
  <w:style w:type="character" w:customStyle="1" w:styleId="Heading1Char">
    <w:name w:val="Heading 1 Char"/>
    <w:basedOn w:val="DefaultParagraphFont"/>
    <w:link w:val="Heading1"/>
    <w:rsid w:val="005F79AE"/>
    <w:rPr>
      <w:rFonts w:ascii="Times New Roman" w:eastAsia="Times New Roman" w:hAnsi="Times New Roman" w:cs="Times New Roman"/>
      <w:b/>
      <w:sz w:val="32"/>
      <w:szCs w:val="20"/>
      <w:lang w:eastAsia="en-US"/>
    </w:rPr>
  </w:style>
  <w:style w:type="paragraph" w:styleId="BodyText">
    <w:name w:val="Body Text"/>
    <w:basedOn w:val="Normal"/>
    <w:link w:val="BodyTextChar"/>
    <w:rsid w:val="005F7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9AE"/>
    <w:rPr>
      <w:rFonts w:ascii="Times New Roman" w:eastAsia="Times New Roman" w:hAnsi="Times New Roman" w:cs="Times New Roman"/>
      <w:sz w:val="24"/>
      <w:lang w:eastAsia="en-US"/>
    </w:rPr>
  </w:style>
  <w:style w:type="character" w:customStyle="1" w:styleId="SpecialBold">
    <w:name w:val="Special Bold"/>
    <w:basedOn w:val="DefaultParagraphFont"/>
    <w:rsid w:val="005F79AE"/>
    <w:rPr>
      <w:b/>
      <w:spacing w:val="0"/>
    </w:rPr>
  </w:style>
  <w:style w:type="paragraph" w:customStyle="1" w:styleId="SuperHeading">
    <w:name w:val="SuperHeading"/>
    <w:basedOn w:val="Normal"/>
    <w:rsid w:val="005F79AE"/>
    <w:pPr>
      <w:spacing w:before="240" w:after="120"/>
      <w:outlineLvl w:val="0"/>
    </w:pPr>
    <w:rPr>
      <w:rFonts w:ascii="Times New Roman" w:hAnsi="Times New Roman"/>
      <w:b/>
      <w:sz w:val="32"/>
    </w:rPr>
  </w:style>
  <w:style w:type="paragraph" w:customStyle="1" w:styleId="AllowPageBreak">
    <w:name w:val="AllowPageBreak"/>
    <w:rsid w:val="005F79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9AE"/>
    <w:rPr>
      <w:rFonts w:ascii="Courier New" w:eastAsia="Times New Roman" w:hAnsi="Courier New" w:cs="Times New Roman"/>
      <w:i/>
      <w:szCs w:val="20"/>
      <w:lang w:eastAsia="en-US"/>
    </w:rPr>
  </w:style>
  <w:style w:type="paragraph" w:customStyle="1" w:styleId="HeadingBase">
    <w:name w:val="Heading Base"/>
    <w:rsid w:val="005F7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9AE"/>
    <w:pPr>
      <w:tabs>
        <w:tab w:val="right" w:leader="dot" w:pos="9072"/>
      </w:tabs>
      <w:ind w:left="567"/>
    </w:pPr>
    <w:rPr>
      <w:szCs w:val="22"/>
    </w:rPr>
  </w:style>
  <w:style w:type="paragraph" w:customStyle="1" w:styleId="TOCBase">
    <w:name w:val="TOC Base"/>
    <w:rsid w:val="005F7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9AE"/>
    <w:pPr>
      <w:tabs>
        <w:tab w:val="right" w:leader="dot" w:pos="9072"/>
      </w:tabs>
      <w:spacing w:before="40" w:after="40"/>
      <w:ind w:left="284"/>
    </w:pPr>
    <w:rPr>
      <w:rFonts w:ascii="Times New Roman" w:hAnsi="Times New Roman"/>
    </w:rPr>
  </w:style>
  <w:style w:type="paragraph" w:styleId="TOC1">
    <w:name w:val="toc 1"/>
    <w:basedOn w:val="TOCBase"/>
    <w:next w:val="Normal"/>
    <w:rsid w:val="005F7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9AE"/>
    <w:rPr>
      <w:rFonts w:ascii="Times New Roman" w:eastAsia="Times New Roman" w:hAnsi="Times New Roman" w:cs="Times New Roman"/>
      <w:sz w:val="16"/>
      <w:lang w:eastAsia="en-US"/>
    </w:rPr>
  </w:style>
  <w:style w:type="paragraph" w:styleId="Title">
    <w:name w:val="Title"/>
    <w:basedOn w:val="HeadingBase"/>
    <w:link w:val="TitleChar"/>
    <w:qFormat/>
    <w:rsid w:val="005F79AE"/>
    <w:pPr>
      <w:spacing w:before="5040"/>
      <w:jc w:val="center"/>
    </w:pPr>
    <w:rPr>
      <w:sz w:val="48"/>
      <w:szCs w:val="72"/>
      <w:lang w:val="en-US"/>
    </w:rPr>
  </w:style>
  <w:style w:type="character" w:customStyle="1" w:styleId="TitleChar">
    <w:name w:val="Title Char"/>
    <w:basedOn w:val="DefaultParagraphFont"/>
    <w:link w:val="Title"/>
    <w:rsid w:val="005F7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9AE"/>
    <w:pPr>
      <w:tabs>
        <w:tab w:val="left" w:pos="3600"/>
        <w:tab w:val="left" w:pos="3958"/>
      </w:tabs>
    </w:pPr>
  </w:style>
  <w:style w:type="paragraph" w:styleId="List">
    <w:name w:val="List"/>
    <w:basedOn w:val="BodyText"/>
    <w:next w:val="BodyText"/>
    <w:rsid w:val="005F79AE"/>
    <w:pPr>
      <w:tabs>
        <w:tab w:val="left" w:pos="340"/>
      </w:tabs>
      <w:spacing w:before="60" w:after="60"/>
      <w:ind w:left="340" w:hanging="340"/>
    </w:pPr>
  </w:style>
  <w:style w:type="paragraph" w:styleId="ListBullet">
    <w:name w:val="List Bullet"/>
    <w:basedOn w:val="List"/>
    <w:rsid w:val="005F79AE"/>
    <w:pPr>
      <w:numPr>
        <w:numId w:val="10"/>
      </w:numPr>
      <w:tabs>
        <w:tab w:val="clear" w:pos="340"/>
      </w:tabs>
      <w:spacing w:before="40" w:after="40"/>
    </w:pPr>
  </w:style>
  <w:style w:type="paragraph" w:customStyle="1" w:styleId="Note">
    <w:name w:val="Note"/>
    <w:basedOn w:val="BodyText"/>
    <w:rsid w:val="005F7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9AE"/>
    <w:pPr>
      <w:framePr w:wrap="auto" w:hAnchor="text" w:y="6049"/>
    </w:pPr>
    <w:rPr>
      <w:color w:val="000000"/>
      <w:sz w:val="40"/>
    </w:rPr>
  </w:style>
  <w:style w:type="paragraph" w:customStyle="1" w:styleId="TOCTitle">
    <w:name w:val="TOCTitle"/>
    <w:basedOn w:val="Heading1"/>
    <w:rsid w:val="005F79AE"/>
    <w:pPr>
      <w:spacing w:after="240"/>
      <w:jc w:val="center"/>
      <w:outlineLvl w:val="9"/>
    </w:pPr>
    <w:rPr>
      <w:caps/>
    </w:rPr>
  </w:style>
  <w:style w:type="paragraph" w:customStyle="1" w:styleId="Version">
    <w:name w:val="Version"/>
    <w:rsid w:val="005F79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9AE"/>
    <w:pPr>
      <w:numPr>
        <w:numId w:val="11"/>
      </w:numPr>
      <w:tabs>
        <w:tab w:val="clear" w:pos="680"/>
      </w:tabs>
    </w:pPr>
  </w:style>
  <w:style w:type="paragraph" w:styleId="Index1">
    <w:name w:val="index 1"/>
    <w:basedOn w:val="Normal"/>
    <w:next w:val="Normal"/>
    <w:semiHidden/>
    <w:rsid w:val="005F79AE"/>
    <w:pPr>
      <w:keepNext w:val="0"/>
      <w:tabs>
        <w:tab w:val="right" w:pos="4176"/>
      </w:tabs>
      <w:ind w:left="198" w:hanging="198"/>
    </w:pPr>
    <w:rPr>
      <w:rFonts w:ascii="Garamond" w:hAnsi="Garamond"/>
    </w:rPr>
  </w:style>
  <w:style w:type="paragraph" w:styleId="IndexHeading">
    <w:name w:val="index heading"/>
    <w:basedOn w:val="Normal"/>
    <w:next w:val="Index1"/>
    <w:semiHidden/>
    <w:rsid w:val="005F79AE"/>
    <w:pPr>
      <w:spacing w:before="120" w:after="120"/>
    </w:pPr>
    <w:rPr>
      <w:rFonts w:ascii="Arial" w:hAnsi="Arial"/>
      <w:b/>
      <w:color w:val="918585"/>
      <w:sz w:val="24"/>
    </w:rPr>
  </w:style>
  <w:style w:type="paragraph" w:styleId="Header">
    <w:name w:val="header"/>
    <w:basedOn w:val="Normal"/>
    <w:link w:val="HeaderChar"/>
    <w:rsid w:val="005F7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9AE"/>
    <w:rPr>
      <w:rFonts w:ascii="Times New Roman" w:eastAsia="Times New Roman" w:hAnsi="Times New Roman" w:cs="Times New Roman"/>
      <w:sz w:val="16"/>
      <w:szCs w:val="20"/>
      <w:lang w:val="en-GB" w:eastAsia="en-US"/>
    </w:rPr>
  </w:style>
  <w:style w:type="paragraph" w:customStyle="1" w:styleId="Chapter">
    <w:name w:val="Chapter"/>
    <w:basedOn w:val="Normal"/>
    <w:rsid w:val="005F79AE"/>
    <w:pPr>
      <w:spacing w:before="240"/>
    </w:pPr>
    <w:rPr>
      <w:rFonts w:ascii="Times New Roman" w:hAnsi="Times New Roman"/>
      <w:smallCaps/>
      <w:spacing w:val="80"/>
      <w:sz w:val="28"/>
    </w:rPr>
  </w:style>
  <w:style w:type="paragraph" w:customStyle="1" w:styleId="InChapter">
    <w:name w:val="InChapter"/>
    <w:basedOn w:val="Heading3"/>
    <w:rsid w:val="005F79AE"/>
    <w:pPr>
      <w:spacing w:after="240"/>
      <w:outlineLvl w:val="9"/>
    </w:pPr>
    <w:rPr>
      <w:noProof/>
    </w:rPr>
  </w:style>
  <w:style w:type="paragraph" w:styleId="Index2">
    <w:name w:val="index 2"/>
    <w:basedOn w:val="Normal"/>
    <w:next w:val="Normal"/>
    <w:semiHidden/>
    <w:rsid w:val="005F79AE"/>
    <w:pPr>
      <w:tabs>
        <w:tab w:val="right" w:pos="4176"/>
      </w:tabs>
      <w:ind w:left="568" w:hanging="284"/>
    </w:pPr>
    <w:rPr>
      <w:rFonts w:ascii="Garamond" w:hAnsi="Garamond"/>
    </w:rPr>
  </w:style>
  <w:style w:type="paragraph" w:customStyle="1" w:styleId="Byline">
    <w:name w:val="Byline"/>
    <w:rsid w:val="005F7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9AE"/>
    <w:pPr>
      <w:tabs>
        <w:tab w:val="clear" w:pos="3600"/>
        <w:tab w:val="clear" w:pos="3958"/>
      </w:tabs>
      <w:jc w:val="right"/>
    </w:pPr>
  </w:style>
  <w:style w:type="character" w:styleId="Emphasis">
    <w:name w:val="Emphasis"/>
    <w:basedOn w:val="DefaultParagraphFont"/>
    <w:qFormat/>
    <w:rsid w:val="005F79AE"/>
    <w:rPr>
      <w:i/>
    </w:rPr>
  </w:style>
  <w:style w:type="paragraph" w:styleId="Caption">
    <w:name w:val="caption"/>
    <w:basedOn w:val="BodyText"/>
    <w:next w:val="Normal"/>
    <w:qFormat/>
    <w:rsid w:val="005F79AE"/>
    <w:pPr>
      <w:framePr w:w="2268" w:hSpace="181" w:vSpace="181" w:wrap="around" w:vAnchor="text" w:hAnchor="page" w:x="1135" w:y="285" w:anchorLock="1"/>
    </w:pPr>
    <w:rPr>
      <w:i/>
    </w:rPr>
  </w:style>
  <w:style w:type="paragraph" w:customStyle="1" w:styleId="MiniTOCTitle">
    <w:name w:val="MiniTOCTitle"/>
    <w:basedOn w:val="Heading4"/>
    <w:rsid w:val="005F79AE"/>
    <w:pPr>
      <w:spacing w:before="240"/>
      <w:outlineLvl w:val="9"/>
    </w:pPr>
    <w:rPr>
      <w:noProof/>
      <w:sz w:val="24"/>
    </w:rPr>
  </w:style>
  <w:style w:type="paragraph" w:customStyle="1" w:styleId="MiniTOCItem">
    <w:name w:val="MiniTOCItem"/>
    <w:basedOn w:val="ListBullet"/>
    <w:rsid w:val="005F79AE"/>
    <w:pPr>
      <w:numPr>
        <w:numId w:val="0"/>
      </w:numPr>
      <w:tabs>
        <w:tab w:val="right" w:leader="dot" w:pos="6521"/>
      </w:tabs>
      <w:spacing w:before="0" w:after="0"/>
    </w:pPr>
  </w:style>
  <w:style w:type="paragraph" w:customStyle="1" w:styleId="TOFTitle">
    <w:name w:val="TOFTitle"/>
    <w:basedOn w:val="TOCTitle"/>
    <w:rsid w:val="005F79AE"/>
  </w:style>
  <w:style w:type="paragraph" w:styleId="TableofFigures">
    <w:name w:val="table of figures"/>
    <w:basedOn w:val="Normal"/>
    <w:next w:val="Normal"/>
    <w:semiHidden/>
    <w:rsid w:val="005F79AE"/>
    <w:pPr>
      <w:tabs>
        <w:tab w:val="right" w:leader="dot" w:pos="9072"/>
      </w:tabs>
      <w:ind w:left="970" w:hanging="403"/>
    </w:pPr>
    <w:rPr>
      <w:rFonts w:ascii="Times New Roman" w:hAnsi="Times New Roman"/>
      <w:b/>
    </w:rPr>
  </w:style>
  <w:style w:type="paragraph" w:styleId="ListNumber">
    <w:name w:val="List Number"/>
    <w:basedOn w:val="List"/>
    <w:rsid w:val="005F79AE"/>
    <w:pPr>
      <w:numPr>
        <w:numId w:val="13"/>
      </w:numPr>
      <w:tabs>
        <w:tab w:val="clear" w:pos="340"/>
      </w:tabs>
    </w:pPr>
  </w:style>
  <w:style w:type="character" w:customStyle="1" w:styleId="WingdingSymbols">
    <w:name w:val="Wingding Symbols"/>
    <w:rsid w:val="005F79AE"/>
    <w:rPr>
      <w:rFonts w:ascii="Wingdings" w:hAnsi="Wingdings"/>
    </w:rPr>
  </w:style>
  <w:style w:type="paragraph" w:customStyle="1" w:styleId="TableHeading">
    <w:name w:val="Table Heading"/>
    <w:basedOn w:val="HeadingBase"/>
    <w:rsid w:val="005F79AE"/>
    <w:pPr>
      <w:keepLines/>
      <w:pBdr>
        <w:bottom w:val="single" w:sz="6" w:space="1" w:color="918585"/>
      </w:pBdr>
      <w:spacing w:before="240"/>
    </w:pPr>
  </w:style>
  <w:style w:type="character" w:customStyle="1" w:styleId="HotSpot">
    <w:name w:val="HotSpot"/>
    <w:rsid w:val="005F79AE"/>
    <w:rPr>
      <w:color w:val="0033CC"/>
      <w:u w:val="none"/>
    </w:rPr>
  </w:style>
  <w:style w:type="paragraph" w:customStyle="1" w:styleId="BodyTextRight">
    <w:name w:val="Body Text Right"/>
    <w:basedOn w:val="BodyText"/>
    <w:rsid w:val="005F79AE"/>
    <w:pPr>
      <w:spacing w:before="0" w:after="0"/>
      <w:jc w:val="right"/>
    </w:pPr>
  </w:style>
  <w:style w:type="paragraph" w:styleId="Index3">
    <w:name w:val="index 3"/>
    <w:basedOn w:val="ListNumber2"/>
    <w:next w:val="Normal"/>
    <w:semiHidden/>
    <w:rsid w:val="005F79AE"/>
    <w:pPr>
      <w:numPr>
        <w:numId w:val="0"/>
      </w:numPr>
      <w:tabs>
        <w:tab w:val="right" w:leader="dot" w:pos="4176"/>
      </w:tabs>
    </w:pPr>
  </w:style>
  <w:style w:type="paragraph" w:styleId="ListNumber2">
    <w:name w:val="List Number 2"/>
    <w:basedOn w:val="List2"/>
    <w:rsid w:val="005F79AE"/>
    <w:pPr>
      <w:numPr>
        <w:numId w:val="8"/>
      </w:numPr>
      <w:tabs>
        <w:tab w:val="clear" w:pos="1060"/>
      </w:tabs>
    </w:pPr>
  </w:style>
  <w:style w:type="paragraph" w:customStyle="1" w:styleId="MarginNote">
    <w:name w:val="Margin Note"/>
    <w:basedOn w:val="BodyText"/>
    <w:rsid w:val="005F7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9AE"/>
    <w:rPr>
      <w:sz w:val="32"/>
    </w:rPr>
  </w:style>
  <w:style w:type="paragraph" w:customStyle="1" w:styleId="HeadingProcedure">
    <w:name w:val="Heading Procedure"/>
    <w:basedOn w:val="HeadingBase"/>
    <w:next w:val="Normal"/>
    <w:rsid w:val="005F79AE"/>
    <w:pPr>
      <w:tabs>
        <w:tab w:val="left" w:pos="0"/>
      </w:tabs>
      <w:spacing w:before="120" w:after="60"/>
    </w:pPr>
    <w:rPr>
      <w:i/>
      <w:color w:val="918585"/>
      <w:sz w:val="22"/>
    </w:rPr>
  </w:style>
  <w:style w:type="paragraph" w:customStyle="1" w:styleId="TableBodyText">
    <w:name w:val="Table Body Text"/>
    <w:basedOn w:val="BodyText"/>
    <w:rsid w:val="005F79AE"/>
    <w:pPr>
      <w:spacing w:before="60" w:after="60"/>
    </w:pPr>
  </w:style>
  <w:style w:type="paragraph" w:styleId="ListContinue">
    <w:name w:val="List Continue"/>
    <w:basedOn w:val="List"/>
    <w:rsid w:val="005F79AE"/>
    <w:pPr>
      <w:ind w:firstLine="0"/>
    </w:pPr>
  </w:style>
  <w:style w:type="paragraph" w:customStyle="1" w:styleId="ListNote">
    <w:name w:val="List Note"/>
    <w:basedOn w:val="List"/>
    <w:rsid w:val="005F79AE"/>
    <w:pPr>
      <w:pBdr>
        <w:top w:val="single" w:sz="6" w:space="2" w:color="918585"/>
        <w:bottom w:val="single" w:sz="6" w:space="2" w:color="918585"/>
      </w:pBdr>
      <w:tabs>
        <w:tab w:val="left" w:pos="1021"/>
      </w:tabs>
      <w:ind w:firstLine="0"/>
    </w:pPr>
  </w:style>
  <w:style w:type="paragraph" w:customStyle="1" w:styleId="Warning">
    <w:name w:val="Warning"/>
    <w:basedOn w:val="BodyText"/>
    <w:rsid w:val="005F79AE"/>
    <w:pPr>
      <w:shd w:val="clear" w:color="auto" w:fill="D9D9D9"/>
      <w:tabs>
        <w:tab w:val="left" w:pos="992"/>
      </w:tabs>
      <w:ind w:left="119" w:right="119"/>
    </w:pPr>
    <w:rPr>
      <w:sz w:val="20"/>
    </w:rPr>
  </w:style>
  <w:style w:type="paragraph" w:customStyle="1" w:styleId="MarginIcons">
    <w:name w:val="Margin Icons"/>
    <w:basedOn w:val="BodyText"/>
    <w:rsid w:val="005F7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9AE"/>
    <w:rPr>
      <w:rFonts w:ascii="Courier New" w:hAnsi="Courier New"/>
    </w:rPr>
  </w:style>
  <w:style w:type="paragraph" w:customStyle="1" w:styleId="NoteBullet">
    <w:name w:val="Note Bullet"/>
    <w:basedOn w:val="Note"/>
    <w:rsid w:val="005F79AE"/>
    <w:pPr>
      <w:tabs>
        <w:tab w:val="clear" w:pos="680"/>
      </w:tabs>
      <w:spacing w:before="60" w:after="60"/>
    </w:pPr>
  </w:style>
  <w:style w:type="paragraph" w:customStyle="1" w:styleId="SubHeading2">
    <w:name w:val="SubHeading2"/>
    <w:basedOn w:val="HeadingBase"/>
    <w:rsid w:val="005F79AE"/>
    <w:pPr>
      <w:spacing w:before="240" w:after="60"/>
    </w:pPr>
    <w:rPr>
      <w:sz w:val="20"/>
    </w:rPr>
  </w:style>
  <w:style w:type="paragraph" w:customStyle="1" w:styleId="SubHeading1">
    <w:name w:val="SubHeading1"/>
    <w:basedOn w:val="HeadingBase"/>
    <w:rsid w:val="005F79AE"/>
    <w:pPr>
      <w:spacing w:before="240" w:after="60"/>
    </w:pPr>
    <w:rPr>
      <w:color w:val="918585"/>
      <w:sz w:val="22"/>
    </w:rPr>
  </w:style>
  <w:style w:type="paragraph" w:customStyle="1" w:styleId="SideHeading">
    <w:name w:val="Side Heading"/>
    <w:basedOn w:val="HeadingBase"/>
    <w:rsid w:val="005F7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9AE"/>
    <w:pPr>
      <w:numPr>
        <w:numId w:val="9"/>
      </w:numPr>
    </w:pPr>
  </w:style>
  <w:style w:type="paragraph" w:styleId="PlainText">
    <w:name w:val="Plain Text"/>
    <w:basedOn w:val="Normal"/>
    <w:link w:val="PlainTextChar"/>
    <w:rsid w:val="005F79AE"/>
    <w:rPr>
      <w:sz w:val="20"/>
    </w:rPr>
  </w:style>
  <w:style w:type="character" w:customStyle="1" w:styleId="PlainTextChar">
    <w:name w:val="Plain Text Char"/>
    <w:basedOn w:val="DefaultParagraphFont"/>
    <w:link w:val="PlainText"/>
    <w:rsid w:val="005F79AE"/>
    <w:rPr>
      <w:rFonts w:ascii="Courier New" w:eastAsia="Times New Roman" w:hAnsi="Courier New" w:cs="Times New Roman"/>
      <w:sz w:val="20"/>
      <w:szCs w:val="20"/>
      <w:lang w:eastAsia="en-US"/>
    </w:rPr>
  </w:style>
  <w:style w:type="character" w:customStyle="1" w:styleId="MenuOption">
    <w:name w:val="Menu Option"/>
    <w:basedOn w:val="DefaultParagraphFont"/>
    <w:rsid w:val="005F79AE"/>
    <w:rPr>
      <w:b/>
      <w:smallCaps/>
    </w:rPr>
  </w:style>
  <w:style w:type="paragraph" w:customStyle="1" w:styleId="TableListNumber">
    <w:name w:val="Table List Number"/>
    <w:basedOn w:val="ListNumber"/>
    <w:rsid w:val="005F79AE"/>
    <w:pPr>
      <w:numPr>
        <w:numId w:val="0"/>
      </w:numPr>
    </w:pPr>
  </w:style>
  <w:style w:type="paragraph" w:styleId="TOC4">
    <w:name w:val="toc 4"/>
    <w:basedOn w:val="TOCBase"/>
    <w:next w:val="Normal"/>
    <w:semiHidden/>
    <w:rsid w:val="005F79AE"/>
    <w:pPr>
      <w:tabs>
        <w:tab w:val="right" w:leader="dot" w:pos="9071"/>
      </w:tabs>
      <w:ind w:left="1701"/>
    </w:pPr>
  </w:style>
  <w:style w:type="paragraph" w:customStyle="1" w:styleId="ListAlpha">
    <w:name w:val="List Alpha"/>
    <w:basedOn w:val="List"/>
    <w:rsid w:val="005F79AE"/>
    <w:pPr>
      <w:numPr>
        <w:numId w:val="7"/>
      </w:numPr>
    </w:pPr>
  </w:style>
  <w:style w:type="paragraph" w:customStyle="1" w:styleId="ListAlpha2">
    <w:name w:val="List Alpha 2"/>
    <w:basedOn w:val="List2"/>
    <w:rsid w:val="005F79AE"/>
    <w:pPr>
      <w:numPr>
        <w:numId w:val="6"/>
      </w:numPr>
    </w:pPr>
  </w:style>
  <w:style w:type="paragraph" w:styleId="List2">
    <w:name w:val="List 2"/>
    <w:basedOn w:val="BodyText"/>
    <w:rsid w:val="005F79AE"/>
    <w:pPr>
      <w:tabs>
        <w:tab w:val="left" w:pos="680"/>
      </w:tabs>
      <w:spacing w:before="60" w:after="60"/>
      <w:ind w:left="680" w:hanging="340"/>
    </w:pPr>
  </w:style>
  <w:style w:type="paragraph" w:styleId="List3">
    <w:name w:val="List 3"/>
    <w:basedOn w:val="BodyText"/>
    <w:rsid w:val="005F79AE"/>
    <w:pPr>
      <w:tabs>
        <w:tab w:val="left" w:pos="1021"/>
      </w:tabs>
      <w:spacing w:before="60" w:after="60"/>
      <w:ind w:left="1020" w:hanging="340"/>
    </w:pPr>
  </w:style>
  <w:style w:type="paragraph" w:styleId="List4">
    <w:name w:val="List 4"/>
    <w:basedOn w:val="BodyText"/>
    <w:rsid w:val="005F79AE"/>
    <w:pPr>
      <w:tabs>
        <w:tab w:val="left" w:pos="1361"/>
      </w:tabs>
      <w:spacing w:before="60" w:after="60"/>
      <w:ind w:left="1361" w:hanging="340"/>
    </w:pPr>
  </w:style>
  <w:style w:type="paragraph" w:styleId="List5">
    <w:name w:val="List 5"/>
    <w:basedOn w:val="BodyText"/>
    <w:rsid w:val="005F79AE"/>
    <w:pPr>
      <w:tabs>
        <w:tab w:val="left" w:pos="1701"/>
      </w:tabs>
      <w:spacing w:before="60" w:after="60"/>
      <w:ind w:left="1701" w:hanging="340"/>
    </w:pPr>
  </w:style>
  <w:style w:type="paragraph" w:styleId="ListBullet3">
    <w:name w:val="List Bullet 3"/>
    <w:basedOn w:val="List3"/>
    <w:rsid w:val="005F79AE"/>
    <w:pPr>
      <w:numPr>
        <w:numId w:val="12"/>
      </w:numPr>
      <w:tabs>
        <w:tab w:val="clear" w:pos="1021"/>
      </w:tabs>
      <w:ind w:left="1037" w:hanging="357"/>
    </w:pPr>
  </w:style>
  <w:style w:type="paragraph" w:styleId="ListBullet4">
    <w:name w:val="List Bullet 4"/>
    <w:basedOn w:val="List4"/>
    <w:rsid w:val="005F79AE"/>
    <w:pPr>
      <w:numPr>
        <w:numId w:val="1"/>
      </w:numPr>
      <w:tabs>
        <w:tab w:val="clear" w:pos="1361"/>
      </w:tabs>
    </w:pPr>
  </w:style>
  <w:style w:type="paragraph" w:styleId="ListBullet5">
    <w:name w:val="List Bullet 5"/>
    <w:basedOn w:val="List5"/>
    <w:rsid w:val="005F79AE"/>
    <w:pPr>
      <w:numPr>
        <w:numId w:val="2"/>
      </w:numPr>
    </w:pPr>
  </w:style>
  <w:style w:type="paragraph" w:styleId="ListContinue2">
    <w:name w:val="List Continue 2"/>
    <w:basedOn w:val="List2"/>
    <w:rsid w:val="005F79AE"/>
    <w:pPr>
      <w:ind w:firstLine="0"/>
    </w:pPr>
  </w:style>
  <w:style w:type="paragraph" w:styleId="ListContinue3">
    <w:name w:val="List Continue 3"/>
    <w:basedOn w:val="List3"/>
    <w:rsid w:val="005F79AE"/>
    <w:pPr>
      <w:ind w:left="1021" w:firstLine="0"/>
    </w:pPr>
  </w:style>
  <w:style w:type="paragraph" w:styleId="ListContinue4">
    <w:name w:val="List Continue 4"/>
    <w:basedOn w:val="List4"/>
    <w:rsid w:val="005F79AE"/>
    <w:pPr>
      <w:ind w:firstLine="0"/>
    </w:pPr>
  </w:style>
  <w:style w:type="paragraph" w:styleId="ListContinue5">
    <w:name w:val="List Continue 5"/>
    <w:basedOn w:val="List5"/>
    <w:rsid w:val="005F79AE"/>
    <w:pPr>
      <w:ind w:firstLine="0"/>
    </w:pPr>
  </w:style>
  <w:style w:type="paragraph" w:styleId="ListNumber3">
    <w:name w:val="List Number 3"/>
    <w:basedOn w:val="List3"/>
    <w:rsid w:val="005F79AE"/>
    <w:pPr>
      <w:numPr>
        <w:numId w:val="3"/>
      </w:numPr>
    </w:pPr>
  </w:style>
  <w:style w:type="paragraph" w:styleId="ListNumber4">
    <w:name w:val="List Number 4"/>
    <w:basedOn w:val="List4"/>
    <w:rsid w:val="005F79AE"/>
    <w:pPr>
      <w:numPr>
        <w:numId w:val="4"/>
      </w:numPr>
    </w:pPr>
  </w:style>
  <w:style w:type="paragraph" w:styleId="ListNumber5">
    <w:name w:val="List Number 5"/>
    <w:basedOn w:val="List5"/>
    <w:rsid w:val="005F79AE"/>
    <w:pPr>
      <w:numPr>
        <w:numId w:val="5"/>
      </w:numPr>
    </w:pPr>
  </w:style>
  <w:style w:type="paragraph" w:styleId="BlockText">
    <w:name w:val="Block Text"/>
    <w:basedOn w:val="Normal"/>
    <w:rsid w:val="005F79AE"/>
    <w:pPr>
      <w:spacing w:after="120"/>
      <w:ind w:left="1440" w:right="1440"/>
    </w:pPr>
  </w:style>
  <w:style w:type="character" w:customStyle="1" w:styleId="Subscript">
    <w:name w:val="Subscript"/>
    <w:basedOn w:val="DefaultParagraphFont"/>
    <w:rsid w:val="005F79AE"/>
    <w:rPr>
      <w:sz w:val="16"/>
      <w:vertAlign w:val="subscript"/>
    </w:rPr>
  </w:style>
  <w:style w:type="character" w:customStyle="1" w:styleId="Superscript">
    <w:name w:val="Superscript"/>
    <w:basedOn w:val="DefaultParagraphFont"/>
    <w:rsid w:val="005F79AE"/>
    <w:rPr>
      <w:sz w:val="16"/>
      <w:vertAlign w:val="superscript"/>
    </w:rPr>
  </w:style>
  <w:style w:type="character" w:customStyle="1" w:styleId="Symbols">
    <w:name w:val="Symbols"/>
    <w:basedOn w:val="DefaultParagraphFont"/>
    <w:rsid w:val="005F79AE"/>
    <w:rPr>
      <w:rFonts w:ascii="Symbol" w:hAnsi="Symbol"/>
    </w:rPr>
  </w:style>
  <w:style w:type="character" w:customStyle="1" w:styleId="MenuOptions">
    <w:name w:val="Menu Options"/>
    <w:basedOn w:val="DefaultParagraphFont"/>
    <w:rsid w:val="005F79AE"/>
    <w:rPr>
      <w:rFonts w:ascii="Arial Narrow" w:hAnsi="Arial Narrow"/>
      <w:smallCaps/>
    </w:rPr>
  </w:style>
  <w:style w:type="character" w:customStyle="1" w:styleId="Buttons">
    <w:name w:val="Buttons"/>
    <w:basedOn w:val="DefaultParagraphFont"/>
    <w:rsid w:val="005F79AE"/>
    <w:rPr>
      <w:b/>
    </w:rPr>
  </w:style>
  <w:style w:type="character" w:customStyle="1" w:styleId="Underlined">
    <w:name w:val="Underlined"/>
    <w:basedOn w:val="DefaultParagraphFont"/>
    <w:rsid w:val="005F79AE"/>
    <w:rPr>
      <w:u w:val="single"/>
    </w:rPr>
  </w:style>
  <w:style w:type="paragraph" w:customStyle="1" w:styleId="TableBodyTextRight">
    <w:name w:val="Table Body Text Right"/>
    <w:basedOn w:val="TableBodyText"/>
    <w:rsid w:val="005F79AE"/>
    <w:pPr>
      <w:widowControl w:val="0"/>
      <w:autoSpaceDE w:val="0"/>
      <w:autoSpaceDN w:val="0"/>
      <w:adjustRightInd w:val="0"/>
      <w:jc w:val="right"/>
    </w:pPr>
    <w:rPr>
      <w:rFonts w:cs="Arial"/>
      <w:szCs w:val="18"/>
    </w:rPr>
  </w:style>
  <w:style w:type="paragraph" w:customStyle="1" w:styleId="CopyrightText">
    <w:name w:val="Copyright Text"/>
    <w:basedOn w:val="BodyText"/>
    <w:rsid w:val="005F79AE"/>
    <w:rPr>
      <w:sz w:val="18"/>
    </w:rPr>
  </w:style>
  <w:style w:type="paragraph" w:customStyle="1" w:styleId="BodySmallRight">
    <w:name w:val="Body Small Right"/>
    <w:basedOn w:val="BodyTextRight"/>
    <w:rsid w:val="005F79AE"/>
    <w:rPr>
      <w:sz w:val="18"/>
      <w:szCs w:val="18"/>
    </w:rPr>
  </w:style>
  <w:style w:type="paragraph" w:customStyle="1" w:styleId="MarginEdition">
    <w:name w:val="Margin Edition"/>
    <w:basedOn w:val="MarginNote"/>
    <w:rsid w:val="005F79AE"/>
    <w:pPr>
      <w:spacing w:before="0" w:after="0"/>
    </w:pPr>
    <w:rPr>
      <w:rFonts w:ascii="Times New Roman" w:hAnsi="Times New Roman"/>
      <w:color w:val="999999"/>
    </w:rPr>
  </w:style>
  <w:style w:type="paragraph" w:customStyle="1" w:styleId="Spacer">
    <w:name w:val="Spacer"/>
    <w:basedOn w:val="Normal"/>
    <w:rsid w:val="005F79AE"/>
    <w:rPr>
      <w:sz w:val="2"/>
      <w:szCs w:val="2"/>
    </w:rPr>
  </w:style>
  <w:style w:type="character" w:customStyle="1" w:styleId="Small">
    <w:name w:val="Small"/>
    <w:basedOn w:val="DefaultParagraphFont"/>
    <w:rsid w:val="005F79AE"/>
    <w:rPr>
      <w:sz w:val="16"/>
    </w:rPr>
  </w:style>
  <w:style w:type="paragraph" w:customStyle="1" w:styleId="WideTable">
    <w:name w:val="Wide Table"/>
    <w:basedOn w:val="Normal"/>
    <w:rsid w:val="005F79AE"/>
    <w:pPr>
      <w:ind w:left="-1418"/>
    </w:pPr>
    <w:rPr>
      <w:sz w:val="2"/>
      <w:szCs w:val="2"/>
    </w:rPr>
  </w:style>
  <w:style w:type="character" w:styleId="PageNumber">
    <w:name w:val="page number"/>
    <w:basedOn w:val="DefaultParagraphFont"/>
    <w:rsid w:val="005F79AE"/>
  </w:style>
  <w:style w:type="paragraph" w:styleId="Quote">
    <w:name w:val="Quote"/>
    <w:basedOn w:val="Heading1"/>
    <w:link w:val="QuoteChar"/>
    <w:qFormat/>
    <w:rsid w:val="005F79AE"/>
    <w:rPr>
      <w:b w:val="0"/>
      <w:sz w:val="72"/>
      <w:szCs w:val="72"/>
      <w:lang w:val="en-NZ"/>
    </w:rPr>
  </w:style>
  <w:style w:type="character" w:customStyle="1" w:styleId="QuoteChar">
    <w:name w:val="Quote Char"/>
    <w:basedOn w:val="DefaultParagraphFont"/>
    <w:link w:val="Quote"/>
    <w:rsid w:val="005F7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9AE"/>
    <w:pPr>
      <w:pageBreakBefore/>
    </w:pPr>
  </w:style>
  <w:style w:type="paragraph" w:customStyle="1" w:styleId="Border">
    <w:name w:val="Border"/>
    <w:basedOn w:val="Normal"/>
    <w:qFormat/>
    <w:rsid w:val="005F7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9AE"/>
    <w:rPr>
      <w:b/>
      <w:bCs/>
      <w:i/>
      <w:iCs/>
      <w:color w:val="auto"/>
    </w:rPr>
  </w:style>
  <w:style w:type="paragraph" w:styleId="IntenseQuote">
    <w:name w:val="Intense Quote"/>
    <w:basedOn w:val="Normal"/>
    <w:next w:val="Normal"/>
    <w:link w:val="IntenseQuoteChar"/>
    <w:uiPriority w:val="30"/>
    <w:qFormat/>
    <w:rsid w:val="005F7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9AE"/>
    <w:rPr>
      <w:smallCaps/>
      <w:color w:val="auto"/>
      <w:u w:val="single"/>
    </w:rPr>
  </w:style>
  <w:style w:type="character" w:styleId="IntenseReference">
    <w:name w:val="Intense Reference"/>
    <w:basedOn w:val="DefaultParagraphFont"/>
    <w:uiPriority w:val="32"/>
    <w:qFormat/>
    <w:rsid w:val="005F79AE"/>
    <w:rPr>
      <w:b/>
      <w:bCs/>
      <w:smallCaps/>
      <w:color w:val="auto"/>
      <w:spacing w:val="5"/>
      <w:u w:val="single"/>
    </w:rPr>
  </w:style>
  <w:style w:type="paragraph" w:customStyle="1" w:styleId="2ColumnHeading">
    <w:name w:val="2Column Heading"/>
    <w:basedOn w:val="BodyText"/>
    <w:qFormat/>
    <w:rsid w:val="005F79AE"/>
    <w:pPr>
      <w:spacing w:after="60"/>
      <w:ind w:left="-2268"/>
    </w:pPr>
    <w:rPr>
      <w:b/>
    </w:rPr>
  </w:style>
  <w:style w:type="paragraph" w:customStyle="1" w:styleId="Heading1TOC">
    <w:name w:val="Heading1 TOC"/>
    <w:basedOn w:val="Normal"/>
    <w:qFormat/>
    <w:rsid w:val="005F79AE"/>
    <w:pPr>
      <w:spacing w:before="240" w:after="120"/>
    </w:pPr>
    <w:rPr>
      <w:rFonts w:ascii="Times New Roman" w:hAnsi="Times New Roman"/>
      <w:b/>
      <w:sz w:val="32"/>
    </w:rPr>
  </w:style>
  <w:style w:type="paragraph" w:customStyle="1" w:styleId="Heading2TOC">
    <w:name w:val="Heading2 TOC"/>
    <w:basedOn w:val="Normal"/>
    <w:qFormat/>
    <w:rsid w:val="005F79AE"/>
    <w:pPr>
      <w:spacing w:before="240" w:after="60"/>
    </w:pPr>
    <w:rPr>
      <w:rFonts w:ascii="Times New Roman" w:hAnsi="Times New Roman"/>
      <w:b/>
      <w:sz w:val="28"/>
    </w:rPr>
  </w:style>
  <w:style w:type="character" w:customStyle="1" w:styleId="Underline">
    <w:name w:val="Underline"/>
    <w:basedOn w:val="DefaultParagraphFont"/>
    <w:qFormat/>
    <w:rsid w:val="005F79AE"/>
    <w:rPr>
      <w:u w:val="single"/>
    </w:rPr>
  </w:style>
  <w:style w:type="character" w:customStyle="1" w:styleId="BoldandItalics">
    <w:name w:val="Bold and Italics"/>
    <w:qFormat/>
    <w:rsid w:val="005F79AE"/>
    <w:rPr>
      <w:b/>
      <w:i/>
      <w:u w:val="none"/>
    </w:rPr>
  </w:style>
  <w:style w:type="paragraph" w:styleId="BalloonText">
    <w:name w:val="Balloon Text"/>
    <w:basedOn w:val="Normal"/>
    <w:link w:val="BalloonTextChar"/>
    <w:rsid w:val="005F79AE"/>
    <w:rPr>
      <w:rFonts w:ascii="Tahoma" w:hAnsi="Tahoma" w:cs="Tahoma"/>
      <w:sz w:val="16"/>
      <w:szCs w:val="16"/>
    </w:rPr>
  </w:style>
  <w:style w:type="character" w:customStyle="1" w:styleId="BalloonTextChar">
    <w:name w:val="Balloon Text Char"/>
    <w:basedOn w:val="DefaultParagraphFont"/>
    <w:link w:val="BalloonText"/>
    <w:rsid w:val="005F7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9AE"/>
    <w:rPr>
      <w:b/>
      <w:color w:val="660033"/>
      <w:spacing w:val="0"/>
    </w:rPr>
  </w:style>
  <w:style w:type="paragraph" w:customStyle="1" w:styleId="Nameditemlist">
    <w:name w:val="Named item list"/>
    <w:basedOn w:val="BodyText"/>
    <w:qFormat/>
    <w:rsid w:val="005F79AE"/>
    <w:pPr>
      <w:tabs>
        <w:tab w:val="left" w:pos="2835"/>
      </w:tabs>
      <w:ind w:left="2835" w:hanging="2835"/>
    </w:pPr>
  </w:style>
  <w:style w:type="paragraph" w:customStyle="1" w:styleId="BodyTextnopadding">
    <w:name w:val="Body Text no padding"/>
    <w:basedOn w:val="BodyText"/>
    <w:qFormat/>
    <w:rsid w:val="005F79AE"/>
    <w:pPr>
      <w:spacing w:before="0" w:after="0"/>
    </w:pPr>
  </w:style>
  <w:style w:type="paragraph" w:customStyle="1" w:styleId="BodyTextBold">
    <w:name w:val="Body Text Bold"/>
    <w:basedOn w:val="BodyText"/>
    <w:qFormat/>
    <w:rsid w:val="005F79AE"/>
    <w:rPr>
      <w:b/>
    </w:rPr>
  </w:style>
  <w:style w:type="character" w:styleId="Hyperlink">
    <w:name w:val="Hyperlink"/>
    <w:basedOn w:val="DefaultParagraphFont"/>
    <w:uiPriority w:val="99"/>
    <w:unhideWhenUsed/>
    <w:rsid w:val="00C84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4407</Characters>
  <Application>Microsoft Office Word</Application>
  <DocSecurity>0</DocSecurity>
  <Lines>259</Lines>
  <Paragraphs>141</Paragraphs>
  <ScaleCrop>false</ScaleCrop>
  <Company>Author-it Software Corporation Ltd.</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TLIX0037 Apply border clearance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2024-07-12T08:02:00Z</dcterms:created>
  <dcterms:modified xsi:type="dcterms:W3CDTF">2024-07-12T08:02:00Z</dcterms:modified>
</cp:coreProperties>
</file>