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0C8" w:rsidP="004C70C8">
      <w:pPr>
        <w:pStyle w:val="Title"/>
      </w:pPr>
      <w:r>
        <w:fldChar w:fldCharType="begin"/>
      </w:r>
      <w:r>
        <w:instrText xml:space="preserve"> TITLE   \* MERGEFORMAT </w:instrText>
      </w:r>
      <w:r>
        <w:fldChar w:fldCharType="separate"/>
      </w:r>
      <w:r>
        <w:t>TLIX0037 Apply border clearance procedures</w:t>
      </w:r>
      <w:r>
        <w:fldChar w:fldCharType="end"/>
      </w:r>
    </w:p>
    <w:p w:rsidR="004C70C8" w:rsidP="004C70C8">
      <w:pPr>
        <w:pStyle w:val="Version"/>
        <w:sectPr w:rsidSect="006515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525" w:rsidP="00651525">
      <w:pPr>
        <w:pStyle w:val="SuperHeading"/>
      </w:pPr>
      <w:r w:rsidRPr="00651525">
        <w:t>TLIX0037 Apply border clearance procedures</w:t>
      </w:r>
    </w:p>
    <w:p w:rsidR="00000000" w:rsidRPr="00651525" w:rsidP="00651525">
      <w:pPr>
        <w:pStyle w:val="Heading1"/>
      </w:pPr>
      <w:bookmarkStart w:id="1" w:name="O_1232601"/>
      <w:bookmarkEnd w:id="1"/>
      <w:r w:rsidRPr="00651525">
        <w:t>Modification History</w:t>
      </w:r>
    </w:p>
    <w:tbl>
      <w:tblPr>
        <w:tblW w:w="9497" w:type="dxa"/>
        <w:tblLayout w:type="fixed"/>
        <w:tblCellMar>
          <w:left w:w="62" w:type="dxa"/>
          <w:right w:w="62" w:type="dxa"/>
        </w:tblCellMar>
        <w:tblLook w:val="0000"/>
      </w:tblPr>
      <w:tblGrid>
        <w:gridCol w:w="9497"/>
      </w:tblGrid>
      <w:tr w:rsidTr="0065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 xml:space="preserve">Release 1. </w:t>
            </w:r>
            <w:r w:rsidRPr="00651525">
              <w:t>This is the first release of this unit of competency in the TLI Transport and Logistics Training Package.</w:t>
            </w:r>
          </w:p>
        </w:tc>
      </w:tr>
    </w:tbl>
    <w:p w:rsidR="004C70C8" w:rsidP="00651525">
      <w:pPr>
        <w:pStyle w:val="NoPaddingFontSize1"/>
      </w:pPr>
    </w:p>
    <w:p w:rsidR="004C70C8" w:rsidP="00651525">
      <w:pPr>
        <w:pStyle w:val="NoPaddingFontSize1"/>
      </w:pPr>
    </w:p>
    <w:p w:rsidR="00000000" w:rsidRPr="00651525" w:rsidP="00651525">
      <w:pPr>
        <w:pStyle w:val="Heading1"/>
      </w:pPr>
      <w:bookmarkStart w:id="2" w:name="O_1232602"/>
      <w:bookmarkEnd w:id="2"/>
      <w:r w:rsidRPr="00651525">
        <w:t>Application</w:t>
      </w:r>
    </w:p>
    <w:tbl>
      <w:tblPr>
        <w:tblW w:w="9497" w:type="dxa"/>
        <w:tblLayout w:type="fixed"/>
        <w:tblCellMar>
          <w:left w:w="62" w:type="dxa"/>
          <w:right w:w="62" w:type="dxa"/>
        </w:tblCellMar>
        <w:tblLook w:val="0000"/>
      </w:tblPr>
      <w:tblGrid>
        <w:gridCol w:w="9497"/>
      </w:tblGrid>
      <w:tr w:rsidTr="0065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t>This unit involves the skills and knowledge required to apply customs clearance proc</w:t>
            </w:r>
            <w:r w:rsidRPr="00651525">
              <w:t>edures.</w:t>
            </w:r>
          </w:p>
          <w:p w:rsidR="00000000" w:rsidRPr="00651525" w:rsidP="00651525">
            <w:pPr>
              <w:pStyle w:val="BodyText"/>
            </w:pPr>
            <w:r w:rsidRPr="00651525">
              <w:t>This unit includes identifying customs clearance processes and potential problems. It also includes determining if customs clearance by Self Assessed Clearance (SAC) is appropriate for the subject consignment and identifying and determining type of</w:t>
            </w:r>
            <w:r w:rsidRPr="00651525">
              <w:t xml:space="preserve"> formal import declaration requirements and goods are dealt with in accordance the clearance received.</w:t>
            </w:r>
          </w:p>
          <w:p w:rsidR="00000000" w:rsidRPr="00651525" w:rsidP="00651525">
            <w:pPr>
              <w:pStyle w:val="BodyText"/>
            </w:pPr>
            <w:r w:rsidRPr="00651525">
              <w:t>Work is undertaken in a range of environments, including small to large worksites, in the customs broking and international supply chain industries.</w:t>
            </w:r>
          </w:p>
          <w:p w:rsidR="00000000" w:rsidRPr="00651525" w:rsidP="00651525">
            <w:pPr>
              <w:pStyle w:val="BodyText"/>
            </w:pPr>
            <w:r w:rsidRPr="00651525">
              <w:t>No l</w:t>
            </w:r>
            <w:r w:rsidRPr="00651525">
              <w:t>icensing, legislative or certification requirements apply to this unit at the time of publication.</w:t>
            </w:r>
          </w:p>
        </w:tc>
      </w:tr>
    </w:tbl>
    <w:p w:rsidR="004C70C8" w:rsidP="00651525">
      <w:pPr>
        <w:pStyle w:val="NoPaddingFontSize1"/>
      </w:pPr>
    </w:p>
    <w:p w:rsidR="004C70C8" w:rsidP="00651525">
      <w:pPr>
        <w:pStyle w:val="NoPaddingFontSize1"/>
      </w:pPr>
    </w:p>
    <w:p w:rsidR="00000000" w:rsidRPr="00651525" w:rsidP="00651525">
      <w:pPr>
        <w:pStyle w:val="Heading1"/>
      </w:pPr>
      <w:bookmarkStart w:id="3" w:name="O_1232603"/>
      <w:bookmarkEnd w:id="3"/>
      <w:r w:rsidRPr="00651525">
        <w:t>Pre-requisite Unit</w:t>
      </w:r>
    </w:p>
    <w:tbl>
      <w:tblPr>
        <w:tblW w:w="9497" w:type="dxa"/>
        <w:tblLayout w:type="fixed"/>
        <w:tblCellMar>
          <w:left w:w="62" w:type="dxa"/>
          <w:right w:w="62" w:type="dxa"/>
        </w:tblCellMar>
        <w:tblLook w:val="0000"/>
      </w:tblPr>
      <w:tblGrid>
        <w:gridCol w:w="9497"/>
      </w:tblGrid>
      <w:tr w:rsidTr="0065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t>Not applicable.</w:t>
            </w:r>
          </w:p>
        </w:tc>
      </w:tr>
    </w:tbl>
    <w:p w:rsidR="004C70C8" w:rsidP="00651525">
      <w:pPr>
        <w:pStyle w:val="NoPaddingFontSize1"/>
      </w:pPr>
    </w:p>
    <w:p w:rsidR="004C70C8" w:rsidP="00651525">
      <w:pPr>
        <w:pStyle w:val="NoPaddingFontSize1"/>
      </w:pPr>
    </w:p>
    <w:p w:rsidR="00000000" w:rsidRPr="00651525" w:rsidP="00651525">
      <w:pPr>
        <w:pStyle w:val="Heading1"/>
      </w:pPr>
      <w:bookmarkStart w:id="4" w:name="O_1232604"/>
      <w:bookmarkEnd w:id="4"/>
      <w:r w:rsidRPr="00651525">
        <w:t>Competency Field</w:t>
      </w:r>
    </w:p>
    <w:tbl>
      <w:tblPr>
        <w:tblW w:w="9497" w:type="dxa"/>
        <w:tblLayout w:type="fixed"/>
        <w:tblCellMar>
          <w:left w:w="62" w:type="dxa"/>
          <w:right w:w="62" w:type="dxa"/>
        </w:tblCellMar>
        <w:tblLook w:val="0000"/>
      </w:tblPr>
      <w:tblGrid>
        <w:gridCol w:w="9497"/>
      </w:tblGrid>
      <w:tr w:rsidTr="0065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t>X – Logistics</w:t>
            </w:r>
          </w:p>
        </w:tc>
      </w:tr>
    </w:tbl>
    <w:p w:rsidR="004C70C8" w:rsidP="00651525">
      <w:pPr>
        <w:pStyle w:val="NoPaddingFontSize1"/>
      </w:pPr>
    </w:p>
    <w:p w:rsidR="004C70C8" w:rsidP="00651525">
      <w:pPr>
        <w:pStyle w:val="NoPaddingFontSize1"/>
      </w:pPr>
    </w:p>
    <w:p w:rsidR="00000000" w:rsidRPr="00651525" w:rsidP="00651525">
      <w:pPr>
        <w:pStyle w:val="Heading1"/>
      </w:pPr>
      <w:bookmarkStart w:id="5" w:name="O_1232605"/>
      <w:bookmarkEnd w:id="5"/>
      <w:r w:rsidRPr="00651525">
        <w:t>Unit Sector</w:t>
      </w:r>
    </w:p>
    <w:tbl>
      <w:tblPr>
        <w:tblW w:w="9497" w:type="dxa"/>
        <w:tblLayout w:type="fixed"/>
        <w:tblCellMar>
          <w:left w:w="62" w:type="dxa"/>
          <w:right w:w="62" w:type="dxa"/>
        </w:tblCellMar>
        <w:tblLook w:val="0000"/>
      </w:tblPr>
      <w:tblGrid>
        <w:gridCol w:w="9497"/>
      </w:tblGrid>
      <w:tr w:rsidTr="0065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t>Customs Broking.</w:t>
            </w:r>
          </w:p>
        </w:tc>
      </w:tr>
    </w:tbl>
    <w:p w:rsidR="004C70C8" w:rsidP="00651525">
      <w:pPr>
        <w:pStyle w:val="NoPaddingFontSize1"/>
      </w:pPr>
    </w:p>
    <w:p w:rsidR="004C70C8" w:rsidP="00651525">
      <w:pPr>
        <w:pStyle w:val="NoPaddingFontSize1"/>
      </w:pPr>
    </w:p>
    <w:p w:rsidR="00000000" w:rsidRPr="00651525" w:rsidP="00651525">
      <w:pPr>
        <w:pStyle w:val="Heading1"/>
      </w:pPr>
      <w:bookmarkStart w:id="6" w:name="O_1232606"/>
      <w:bookmarkEnd w:id="6"/>
      <w:r w:rsidRPr="00651525">
        <w:t>Elements and Performance Criteria</w:t>
      </w:r>
    </w:p>
    <w:tbl>
      <w:tblPr>
        <w:tblW w:w="9497" w:type="dxa"/>
        <w:tblLayout w:type="fixed"/>
        <w:tblCellMar>
          <w:left w:w="62" w:type="dxa"/>
          <w:right w:w="62" w:type="dxa"/>
        </w:tblCellMar>
        <w:tblLook w:val="0000"/>
      </w:tblPr>
      <w:tblGrid>
        <w:gridCol w:w="530"/>
        <w:gridCol w:w="2728"/>
        <w:gridCol w:w="720"/>
        <w:gridCol w:w="5519"/>
      </w:tblGrid>
      <w:tr w:rsidTr="00651525">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PERFORMANCE CRITERIA</w:t>
            </w:r>
          </w:p>
        </w:tc>
      </w:tr>
      <w:tr w:rsidTr="00651525">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Performance criteria describe the performance needed to demonstrate achievement of the element.</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 xml:space="preserve">1 </w:t>
            </w:r>
          </w:p>
        </w:tc>
        <w:tc>
          <w:tcPr>
            <w:tcW w:w="2728"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Manage</w:t>
            </w:r>
            <w:r w:rsidRPr="00651525">
              <w:t xml:space="preserve"> </w:t>
            </w:r>
            <w:r w:rsidRPr="00651525">
              <w:rPr>
                <w:rStyle w:val="SpecialBold"/>
              </w:rPr>
              <w:t>customs clearance processes</w:t>
            </w: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1.1</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Information supplied for customs clearance is confirmed as compliant with regulatory requirements</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1.2</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 xml:space="preserve">Missing or ambiguous documents and/or information </w:t>
            </w:r>
            <w:r w:rsidRPr="00651525">
              <w:t>are identified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1.3</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Consignments not requiring formal declaration are identified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1.4</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Consignments requiring formal declaration are identified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2</w:t>
            </w:r>
          </w:p>
        </w:tc>
        <w:tc>
          <w:tcPr>
            <w:tcW w:w="2728"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Identify</w:t>
            </w:r>
            <w:r w:rsidRPr="00651525">
              <w:t xml:space="preserve"> p</w:t>
            </w:r>
            <w:r w:rsidRPr="00651525">
              <w:rPr>
                <w:rStyle w:val="SpecialBold"/>
              </w:rPr>
              <w:t xml:space="preserve">otential problems in customs clearance </w:t>
            </w: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2.1</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Requirements for import clearance transactions are determined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2.2</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Poten</w:t>
            </w:r>
            <w:r w:rsidRPr="00651525">
              <w:t>tial problems with customs clearance and appropriate actions to be undertaken are identified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3</w:t>
            </w:r>
          </w:p>
        </w:tc>
        <w:tc>
          <w:tcPr>
            <w:tcW w:w="2728"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Determine if customs clearance by SAC is appropriate for the subject consignment</w:t>
            </w: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3.1</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The eligibility of customs clearance by SAC is determined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3.2</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Requirements of customs clearance by SAC are determined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4</w:t>
            </w:r>
          </w:p>
        </w:tc>
        <w:tc>
          <w:tcPr>
            <w:tcW w:w="2728"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Identify and determine type of formal import declaration required</w:t>
            </w: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4.1</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Legislation and customs policy for goods required to be entered/not entered is explained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4.2</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Goods requiring an import decla</w:t>
            </w:r>
            <w:r w:rsidRPr="00651525">
              <w:t>ration are identified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4.3</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Types of import declaration are explained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4.4</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Declaration for warehousing and ex-warehousing are explained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4.5</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Requirements of input fields on declarations are explained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4.6</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Processes required to complete import and/or export declarations are explained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5</w:t>
            </w:r>
          </w:p>
        </w:tc>
        <w:tc>
          <w:tcPr>
            <w:tcW w:w="2728"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Determine date of entry for home consumption</w:t>
            </w: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5.1</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Date of entry for home consumption is identified in accordance with the Customs Act as amended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5.2</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Advance entry provisions of the Customs Act as amended are explained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6</w:t>
            </w:r>
          </w:p>
        </w:tc>
        <w:tc>
          <w:tcPr>
            <w:tcW w:w="2728"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Finalise</w:t>
            </w:r>
            <w:r w:rsidRPr="00651525">
              <w:t xml:space="preserve"> i</w:t>
            </w:r>
            <w:r w:rsidRPr="00651525">
              <w:rPr>
                <w:rStyle w:val="SpecialBold"/>
              </w:rPr>
              <w:t xml:space="preserve">mport declarations </w:t>
            </w: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6.1</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Processes required to finalise and lodge import declarations are explained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6.2</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 xml:space="preserve">Necessity for import declaration amendments is </w:t>
            </w:r>
            <w:r w:rsidRPr="00651525">
              <w:t>explained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6.3</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Cont</w:t>
            </w:r>
            <w:r w:rsidRPr="00651525">
              <w:t>ingency arrangements for software application systems are explained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7</w:t>
            </w:r>
          </w:p>
        </w:tc>
        <w:tc>
          <w:tcPr>
            <w:tcW w:w="2728"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Goods are dealt with in accordance the clearance received</w:t>
            </w: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7.1</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Import declaration payment options are explained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7.2</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Consignment status is verified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7.3</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Consignment is dealt with in accordance with the authority to deal</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8</w:t>
            </w:r>
          </w:p>
        </w:tc>
        <w:tc>
          <w:tcPr>
            <w:tcW w:w="2728"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Identify probable suspicious transactions and trader’s non-compliance tactics</w:t>
            </w: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8.1</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Probable mistakes/inconsistencies/discrepancies in import transactions are determined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8.2</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Common indi</w:t>
            </w:r>
            <w:r w:rsidRPr="00651525">
              <w:t>cators of suspicious behaviour and activities are identified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8.3</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Potential non-compliance tactics to evade detection and duties are identified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9</w:t>
            </w:r>
          </w:p>
        </w:tc>
        <w:tc>
          <w:tcPr>
            <w:tcW w:w="2728"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Apply procedures to withdraw an import declaration</w:t>
            </w: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9.1</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Double entries are identified and withdrawn</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9.2</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Other import declarations not required are withdrawn in accordance with provisions of the Customs Act and associated regulations</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9.3</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Impact of withdrawal of an import declaration on the rate of customs duty payable is explained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10</w:t>
            </w:r>
          </w:p>
        </w:tc>
        <w:tc>
          <w:tcPr>
            <w:tcW w:w="2728"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Calculate landed cost</w:t>
            </w:r>
            <w:r w:rsidRPr="00651525">
              <w:rPr>
                <w:rStyle w:val="SpecialBold"/>
              </w:rPr>
              <w:t>s</w:t>
            </w: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10.1</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Elements required to calculate a landed cost are identified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10.2</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Contracted rate of exchange is determined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11</w:t>
            </w:r>
          </w:p>
        </w:tc>
        <w:tc>
          <w:tcPr>
            <w:tcW w:w="2728"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Identify</w:t>
            </w:r>
            <w:r w:rsidRPr="00651525">
              <w:t xml:space="preserve"> e</w:t>
            </w:r>
            <w:r w:rsidRPr="00651525">
              <w:rPr>
                <w:rStyle w:val="SpecialBold"/>
              </w:rPr>
              <w:t xml:space="preserve">xcise and excise equivalent goods </w:t>
            </w: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11.1</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Excise goods are explained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11.2</w:t>
            </w:r>
          </w:p>
        </w:tc>
        <w:tc>
          <w:tcPr>
            <w:tcW w:w="5519"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Excise equivalent goods are explained</w:t>
            </w:r>
          </w:p>
        </w:tc>
      </w:tr>
      <w:tr w:rsidTr="00651525">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651525">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rPr>
                <w:rStyle w:val="SpecialBold"/>
              </w:rPr>
              <w:t>11.3</w:t>
            </w:r>
          </w:p>
        </w:tc>
        <w:tc>
          <w:tcPr>
            <w:tcW w:w="5519"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t>Reporting requirements for excise and excise equivalent goods are explained</w:t>
            </w:r>
          </w:p>
        </w:tc>
      </w:tr>
    </w:tbl>
    <w:p w:rsidR="004C70C8" w:rsidP="00651525">
      <w:pPr>
        <w:pStyle w:val="NoPaddingFontSize1"/>
      </w:pPr>
    </w:p>
    <w:p w:rsidR="004C70C8" w:rsidP="00651525">
      <w:pPr>
        <w:pStyle w:val="NoPaddingFontSize1"/>
      </w:pPr>
    </w:p>
    <w:p w:rsidR="00000000" w:rsidRPr="00651525" w:rsidP="00651525">
      <w:pPr>
        <w:pStyle w:val="Heading1"/>
      </w:pPr>
      <w:bookmarkStart w:id="7" w:name="O_1232607"/>
      <w:bookmarkEnd w:id="7"/>
      <w:r w:rsidRPr="00651525">
        <w:t>Foundation Skills</w:t>
      </w:r>
    </w:p>
    <w:tbl>
      <w:tblPr>
        <w:tblW w:w="9497" w:type="dxa"/>
        <w:tblLayout w:type="fixed"/>
        <w:tblCellMar>
          <w:left w:w="62" w:type="dxa"/>
          <w:right w:w="62" w:type="dxa"/>
        </w:tblCellMar>
        <w:tblLook w:val="0000"/>
      </w:tblPr>
      <w:tblGrid>
        <w:gridCol w:w="9497"/>
      </w:tblGrid>
      <w:tr w:rsidTr="0065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t>Foundation skills essential to performance are explicit in the performance criteria of this unit of competency.</w:t>
            </w:r>
          </w:p>
        </w:tc>
      </w:tr>
    </w:tbl>
    <w:p w:rsidR="004C70C8" w:rsidP="00651525">
      <w:pPr>
        <w:pStyle w:val="NoPaddingFontSize1"/>
      </w:pPr>
    </w:p>
    <w:p w:rsidR="004C70C8" w:rsidP="00651525">
      <w:pPr>
        <w:pStyle w:val="NoPaddingFontSize1"/>
      </w:pPr>
    </w:p>
    <w:p w:rsidR="00000000" w:rsidRPr="00651525" w:rsidP="00651525">
      <w:pPr>
        <w:pStyle w:val="Heading1"/>
      </w:pPr>
      <w:bookmarkStart w:id="8" w:name="O_1232608"/>
      <w:bookmarkEnd w:id="8"/>
      <w:r w:rsidRPr="00651525">
        <w:t>Range of Conditions</w:t>
      </w:r>
    </w:p>
    <w:tbl>
      <w:tblPr>
        <w:tblW w:w="9497" w:type="dxa"/>
        <w:tblLayout w:type="fixed"/>
        <w:tblCellMar>
          <w:left w:w="62" w:type="dxa"/>
          <w:right w:w="62" w:type="dxa"/>
        </w:tblCellMar>
        <w:tblLook w:val="0000"/>
      </w:tblPr>
      <w:tblGrid>
        <w:gridCol w:w="9497"/>
      </w:tblGrid>
      <w:tr w:rsidTr="0065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t>Range is restricted to essential operating conditions and any other variables essential to the work environment.</w:t>
            </w:r>
          </w:p>
          <w:p w:rsidR="00000000" w:rsidRPr="00651525" w:rsidP="00651525">
            <w:pPr>
              <w:pStyle w:val="BodyText"/>
            </w:pPr>
            <w:r w:rsidRPr="00651525">
              <w:t>Non-essential conditions can be found in the TLI Transport and Logistics Training Package Companion Volume Implementation G</w:t>
            </w:r>
            <w:r w:rsidRPr="00651525">
              <w:t>uide.</w:t>
            </w:r>
          </w:p>
        </w:tc>
      </w:tr>
    </w:tbl>
    <w:p w:rsidR="004C70C8" w:rsidP="00651525">
      <w:pPr>
        <w:pStyle w:val="NoPaddingFontSize1"/>
      </w:pPr>
    </w:p>
    <w:p w:rsidR="004C70C8" w:rsidP="00651525">
      <w:pPr>
        <w:pStyle w:val="NoPaddingFontSize1"/>
      </w:pPr>
    </w:p>
    <w:p w:rsidR="00000000" w:rsidRPr="00651525" w:rsidP="00651525">
      <w:pPr>
        <w:pStyle w:val="Heading1"/>
      </w:pPr>
      <w:bookmarkStart w:id="9" w:name="O_1232609"/>
      <w:bookmarkEnd w:id="9"/>
      <w:r w:rsidRPr="00651525">
        <w:t>Unit Mapping Information</w:t>
      </w:r>
    </w:p>
    <w:tbl>
      <w:tblPr>
        <w:tblW w:w="9497" w:type="dxa"/>
        <w:tblLayout w:type="fixed"/>
        <w:tblCellMar>
          <w:left w:w="62" w:type="dxa"/>
          <w:right w:w="62" w:type="dxa"/>
        </w:tblCellMar>
        <w:tblLook w:val="0000"/>
      </w:tblPr>
      <w:tblGrid>
        <w:gridCol w:w="9497"/>
      </w:tblGrid>
      <w:tr w:rsidTr="0065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t>This unit replaces but is not equivalent to TLIX5046 Carry out standard customs clearance practices.</w:t>
            </w:r>
          </w:p>
        </w:tc>
      </w:tr>
    </w:tbl>
    <w:p w:rsidR="004C70C8" w:rsidP="00651525">
      <w:pPr>
        <w:pStyle w:val="NoPaddingFontSize1"/>
      </w:pPr>
    </w:p>
    <w:p w:rsidR="004C70C8" w:rsidP="00651525">
      <w:pPr>
        <w:pStyle w:val="NoPaddingFontSize1"/>
      </w:pPr>
    </w:p>
    <w:p w:rsidR="00000000" w:rsidRPr="00651525" w:rsidP="00651525">
      <w:pPr>
        <w:pStyle w:val="Heading1"/>
      </w:pPr>
      <w:bookmarkStart w:id="10" w:name="O_1232616"/>
      <w:bookmarkEnd w:id="10"/>
      <w:r w:rsidRPr="00651525">
        <w:t>Links</w:t>
      </w:r>
    </w:p>
    <w:p w:rsidR="00000000" w:rsidRPr="00651525" w:rsidP="004C70C8">
      <w:pPr>
        <w:pStyle w:val="BodyText"/>
      </w:pPr>
      <w:r w:rsidRPr="0065152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A39FD">
        <w:rPr>
          <w:rStyle w:val="Hyperlink"/>
        </w:rPr>
        <w:t>https://vetnet.gov.au/Pages/TrainingDocs.aspx?q=df441c6e-213d-43e3-874c-0b3f7036d851</w:t>
      </w:r>
      <w:r>
        <w:fldChar w:fldCharType="end"/>
      </w:r>
    </w:p>
    <w:p w:rsidR="00000000" w:rsidRPr="00651525" w:rsidP="004C70C8">
      <w:pPr>
        <w:pStyle w:val="BodyText"/>
        <w:sectPr w:rsidSect="00651525">
          <w:headerReference w:type="default" r:id="rId10"/>
          <w:footerReference w:type="default" r:id="rId11"/>
          <w:pgSz w:w="11908" w:h="16833"/>
          <w:pgMar w:top="1702" w:right="1418" w:bottom="1702" w:left="1418" w:header="992" w:footer="992" w:gutter="0"/>
          <w:cols w:space="720"/>
          <w:noEndnote/>
          <w:docGrid w:linePitch="299"/>
        </w:sectPr>
      </w:pPr>
    </w:p>
    <w:p w:rsidR="00000000" w:rsidRPr="00651525" w:rsidP="00651525">
      <w:pPr>
        <w:pStyle w:val="SuperHeading"/>
      </w:pPr>
      <w:r w:rsidRPr="00651525">
        <w:t>Assessment Requirements for TLIX0037 Apply border clearance pro</w:t>
      </w:r>
      <w:r w:rsidRPr="00651525">
        <w:t>cedures</w:t>
      </w:r>
    </w:p>
    <w:p w:rsidR="00000000" w:rsidRPr="00651525" w:rsidP="00651525">
      <w:pPr>
        <w:pStyle w:val="Heading1"/>
      </w:pPr>
      <w:bookmarkStart w:id="11" w:name="O_1232611"/>
      <w:bookmarkEnd w:id="11"/>
      <w:r w:rsidRPr="00651525">
        <w:t>Modification History</w:t>
      </w:r>
    </w:p>
    <w:tbl>
      <w:tblPr>
        <w:tblW w:w="9497" w:type="dxa"/>
        <w:tblLayout w:type="fixed"/>
        <w:tblCellMar>
          <w:left w:w="62" w:type="dxa"/>
          <w:right w:w="62" w:type="dxa"/>
        </w:tblCellMar>
        <w:tblLook w:val="0000"/>
      </w:tblPr>
      <w:tblGrid>
        <w:gridCol w:w="9497"/>
      </w:tblGrid>
      <w:tr w:rsidTr="0065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rPr>
                <w:rStyle w:val="SpecialBold"/>
              </w:rPr>
              <w:t xml:space="preserve">Release 1. </w:t>
            </w:r>
            <w:r w:rsidRPr="00651525">
              <w:t>This is the first release of this unit of competency in the TLI Transport and Logistics Training Package.</w:t>
            </w:r>
          </w:p>
        </w:tc>
      </w:tr>
    </w:tbl>
    <w:p w:rsidR="004C70C8" w:rsidP="00651525">
      <w:pPr>
        <w:pStyle w:val="NoPaddingFontSize1"/>
      </w:pPr>
    </w:p>
    <w:p w:rsidR="004C70C8" w:rsidP="00651525">
      <w:pPr>
        <w:pStyle w:val="NoPaddingFontSize1"/>
      </w:pPr>
    </w:p>
    <w:p w:rsidR="00000000" w:rsidRPr="00651525" w:rsidP="00651525">
      <w:pPr>
        <w:pStyle w:val="Heading1"/>
      </w:pPr>
      <w:bookmarkStart w:id="12" w:name="O_1232612"/>
      <w:bookmarkEnd w:id="12"/>
      <w:r w:rsidRPr="00651525">
        <w:t>Performance Evidence</w:t>
      </w:r>
    </w:p>
    <w:tbl>
      <w:tblPr>
        <w:tblW w:w="9497" w:type="dxa"/>
        <w:tblLayout w:type="fixed"/>
        <w:tblCellMar>
          <w:left w:w="62" w:type="dxa"/>
          <w:right w:w="62" w:type="dxa"/>
        </w:tblCellMar>
        <w:tblLook w:val="0000"/>
      </w:tblPr>
      <w:tblGrid>
        <w:gridCol w:w="9497"/>
      </w:tblGrid>
      <w:tr w:rsidTr="0065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Evidence required to demonstrate competence in this unit must be relevant to and satisfy all of the requirements of the elements and performance criteria on at least one occasion and include:</w:t>
            </w:r>
          </w:p>
        </w:tc>
      </w:tr>
      <w:tr w:rsidTr="0065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525" w:rsidP="00651525">
            <w:pPr>
              <w:pStyle w:val="ListBullet"/>
            </w:pPr>
            <w:r w:rsidRPr="00651525">
              <w:t>calculating landed cost requirements</w:t>
            </w:r>
          </w:p>
          <w:p w:rsidR="00000000" w:rsidRPr="00651525" w:rsidP="00651525">
            <w:pPr>
              <w:pStyle w:val="ListBullet"/>
            </w:pPr>
            <w:r w:rsidRPr="00651525">
              <w:t>determining contracted ra</w:t>
            </w:r>
            <w:r w:rsidRPr="00651525">
              <w:t>te of exchange</w:t>
            </w:r>
          </w:p>
          <w:p w:rsidR="00000000" w:rsidRPr="00651525" w:rsidP="00651525">
            <w:pPr>
              <w:pStyle w:val="ListBullet"/>
            </w:pPr>
            <w:r w:rsidRPr="00651525">
              <w:tab/>
              <w:t>determining customs clearance and appropriateness of Self Assessed Clearance (SAC) in accordance with regulatory requirements</w:t>
            </w:r>
          </w:p>
          <w:p w:rsidR="00000000" w:rsidRPr="00651525" w:rsidP="00651525">
            <w:pPr>
              <w:pStyle w:val="ListBullet"/>
            </w:pPr>
            <w:r w:rsidRPr="00651525">
              <w:t>identifying and resolving missing or ambiguous documents and/or information</w:t>
            </w:r>
          </w:p>
          <w:p w:rsidR="00000000" w:rsidRPr="00651525" w:rsidP="00651525">
            <w:pPr>
              <w:pStyle w:val="ListBullet"/>
            </w:pPr>
            <w:r w:rsidRPr="00651525">
              <w:t>identifying formal declaration require</w:t>
            </w:r>
            <w:r w:rsidRPr="00651525">
              <w:t>ments</w:t>
            </w:r>
          </w:p>
          <w:p w:rsidR="00000000" w:rsidRPr="00651525" w:rsidP="00651525">
            <w:pPr>
              <w:pStyle w:val="ListBullet"/>
            </w:pPr>
            <w:r w:rsidRPr="00651525">
              <w:t>verifying consignment status.</w:t>
            </w:r>
          </w:p>
        </w:tc>
      </w:tr>
    </w:tbl>
    <w:p w:rsidR="004C70C8" w:rsidP="00651525">
      <w:pPr>
        <w:pStyle w:val="NoPaddingFontSize1"/>
      </w:pPr>
    </w:p>
    <w:p w:rsidR="004C70C8" w:rsidP="00651525">
      <w:pPr>
        <w:pStyle w:val="NoPaddingFontSize1"/>
      </w:pPr>
    </w:p>
    <w:p w:rsidR="00000000" w:rsidRPr="00651525" w:rsidP="00651525">
      <w:pPr>
        <w:pStyle w:val="Heading1"/>
      </w:pPr>
      <w:bookmarkStart w:id="13" w:name="O_1232613"/>
      <w:bookmarkEnd w:id="13"/>
      <w:r w:rsidRPr="00651525">
        <w:t>Knowledge Evidence</w:t>
      </w:r>
    </w:p>
    <w:tbl>
      <w:tblPr>
        <w:tblW w:w="9497" w:type="dxa"/>
        <w:tblLayout w:type="fixed"/>
        <w:tblCellMar>
          <w:left w:w="62" w:type="dxa"/>
          <w:right w:w="62" w:type="dxa"/>
        </w:tblCellMar>
        <w:tblLook w:val="0000"/>
      </w:tblPr>
      <w:tblGrid>
        <w:gridCol w:w="9497"/>
      </w:tblGrid>
      <w:tr w:rsidTr="0065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1525">
            <w:pPr>
              <w:pStyle w:val="BodyText"/>
              <w:rPr>
                <w:lang w:val="en-NZ"/>
              </w:rPr>
            </w:pPr>
            <w:r w:rsidRPr="00651525">
              <w:t>Evidence required to demonstrate competence in this unit must be relevant to and satisfy all of the requirements of the elements and performance criteria and include knowledge of:</w:t>
            </w:r>
          </w:p>
        </w:tc>
      </w:tr>
      <w:tr w:rsidTr="0065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525" w:rsidP="00651525">
            <w:pPr>
              <w:pStyle w:val="ListBullet"/>
            </w:pPr>
            <w:r w:rsidRPr="00651525">
              <w:t>common indicators of suspicious behaviour and activities</w:t>
            </w:r>
          </w:p>
          <w:p w:rsidR="00000000" w:rsidRPr="00651525" w:rsidP="00651525">
            <w:pPr>
              <w:pStyle w:val="ListBullet"/>
            </w:pPr>
            <w:r w:rsidRPr="00651525">
              <w:t>customs clearance potential problems and appropriate actions to be undertaken</w:t>
            </w:r>
          </w:p>
          <w:p w:rsidR="00000000" w:rsidRPr="00651525" w:rsidP="00651525">
            <w:pPr>
              <w:pStyle w:val="ListBullet"/>
            </w:pPr>
            <w:r w:rsidRPr="00651525">
              <w:t>customs clearance regulatory requirements including:</w:t>
            </w:r>
          </w:p>
          <w:p w:rsidR="00000000" w:rsidRPr="00651525" w:rsidP="00651525">
            <w:pPr>
              <w:pStyle w:val="ListBullet2"/>
            </w:pPr>
            <w:r w:rsidRPr="00651525">
              <w:t>advance entry provisions</w:t>
            </w:r>
          </w:p>
          <w:p w:rsidR="00000000" w:rsidRPr="00651525" w:rsidP="00651525">
            <w:pPr>
              <w:pStyle w:val="ListBullet2"/>
            </w:pPr>
            <w:r w:rsidRPr="00651525">
              <w:t>consignment formal declaration requirements</w:t>
            </w:r>
          </w:p>
          <w:p w:rsidR="00000000" w:rsidRPr="00651525" w:rsidP="00651525">
            <w:pPr>
              <w:pStyle w:val="ListBullet2"/>
            </w:pPr>
            <w:r w:rsidRPr="00651525">
              <w:t>consignments not requiring formal declaration requirements</w:t>
            </w:r>
          </w:p>
          <w:p w:rsidR="00000000" w:rsidRPr="00651525" w:rsidP="00651525">
            <w:pPr>
              <w:pStyle w:val="ListBullet2"/>
            </w:pPr>
            <w:r w:rsidRPr="00651525">
              <w:t>date of entry for home consumption</w:t>
            </w:r>
          </w:p>
          <w:p w:rsidR="00000000" w:rsidRPr="00651525" w:rsidP="00651525">
            <w:pPr>
              <w:pStyle w:val="ListBullet2"/>
            </w:pPr>
            <w:r w:rsidRPr="00651525">
              <w:t>impact of withdrawal of an import declaration on the rate of customs duty payable</w:t>
            </w:r>
          </w:p>
          <w:p w:rsidR="00000000" w:rsidRPr="00651525" w:rsidP="00651525">
            <w:pPr>
              <w:pStyle w:val="ListBullet2"/>
            </w:pPr>
            <w:r w:rsidRPr="00651525">
              <w:t>other import declarations</w:t>
            </w:r>
          </w:p>
          <w:p w:rsidR="00000000" w:rsidRPr="00651525" w:rsidP="00651525">
            <w:pPr>
              <w:pStyle w:val="ListBullet"/>
            </w:pPr>
            <w:r w:rsidRPr="00651525">
              <w:t>declarati</w:t>
            </w:r>
            <w:r w:rsidRPr="00651525">
              <w:t>on for warehousing and ex-warehousing</w:t>
            </w:r>
          </w:p>
          <w:p w:rsidR="00000000" w:rsidRPr="00651525" w:rsidP="00651525">
            <w:pPr>
              <w:pStyle w:val="ListBullet"/>
            </w:pPr>
            <w:r w:rsidRPr="00651525">
              <w:t>evidence of client identity</w:t>
            </w:r>
          </w:p>
          <w:p w:rsidR="00000000" w:rsidRPr="00651525" w:rsidP="00651525">
            <w:pPr>
              <w:pStyle w:val="ListBullet"/>
            </w:pPr>
            <w:r w:rsidRPr="00651525">
              <w:t>excise and excise equivalent goods including reporting requirements</w:t>
            </w:r>
          </w:p>
          <w:p w:rsidR="00000000" w:rsidRPr="00651525" w:rsidP="00651525">
            <w:pPr>
              <w:pStyle w:val="ListBullet"/>
            </w:pPr>
            <w:r w:rsidRPr="00651525">
              <w:t>procedures for:</w:t>
            </w:r>
          </w:p>
          <w:p w:rsidR="00000000" w:rsidRPr="00651525" w:rsidP="00651525">
            <w:pPr>
              <w:pStyle w:val="ListBullet2"/>
            </w:pPr>
            <w:r w:rsidRPr="00651525">
              <w:t>authority to deal</w:t>
            </w:r>
          </w:p>
          <w:p w:rsidR="00000000" w:rsidRPr="00651525" w:rsidP="00651525">
            <w:pPr>
              <w:pStyle w:val="ListBullet2"/>
            </w:pPr>
            <w:r w:rsidRPr="00651525">
              <w:t>completing and lodging import and/or export declarations</w:t>
            </w:r>
          </w:p>
          <w:p w:rsidR="00000000" w:rsidRPr="00651525" w:rsidP="00651525">
            <w:pPr>
              <w:pStyle w:val="ListBullet2"/>
            </w:pPr>
            <w:r w:rsidRPr="00651525">
              <w:t>custom clearance</w:t>
            </w:r>
          </w:p>
          <w:p w:rsidR="00000000" w:rsidRPr="00651525" w:rsidP="00651525">
            <w:pPr>
              <w:pStyle w:val="ListBullet2"/>
            </w:pPr>
            <w:r w:rsidRPr="00651525">
              <w:t>import clearance transactions including payment options</w:t>
            </w:r>
          </w:p>
          <w:p w:rsidR="00000000" w:rsidRPr="00651525" w:rsidP="00651525">
            <w:pPr>
              <w:pStyle w:val="ListBullet2"/>
            </w:pPr>
            <w:r w:rsidRPr="00651525">
              <w:t>SAC</w:t>
            </w:r>
          </w:p>
          <w:p w:rsidR="00000000" w:rsidRPr="00651525" w:rsidP="00651525">
            <w:pPr>
              <w:pStyle w:val="ListBullet2"/>
            </w:pPr>
            <w:r w:rsidRPr="00651525">
              <w:t>withdraw of double entries</w:t>
            </w:r>
          </w:p>
          <w:p w:rsidR="00000000" w:rsidRPr="00651525" w:rsidP="00651525">
            <w:pPr>
              <w:pStyle w:val="ListBullet"/>
            </w:pPr>
            <w:r w:rsidRPr="00651525">
              <w:t>types of import declarations including goods requiring an import declaration.</w:t>
            </w:r>
          </w:p>
        </w:tc>
      </w:tr>
    </w:tbl>
    <w:p w:rsidR="004C70C8" w:rsidP="00651525">
      <w:pPr>
        <w:pStyle w:val="NoPaddingFontSize1"/>
      </w:pPr>
    </w:p>
    <w:p w:rsidR="004C70C8" w:rsidP="00651525">
      <w:pPr>
        <w:pStyle w:val="NoPaddingFontSize1"/>
      </w:pPr>
    </w:p>
    <w:p w:rsidR="00000000" w:rsidRPr="00651525" w:rsidP="00651525">
      <w:pPr>
        <w:pStyle w:val="Heading1"/>
      </w:pPr>
      <w:bookmarkStart w:id="14" w:name="O_1232614"/>
      <w:bookmarkEnd w:id="14"/>
      <w:r w:rsidRPr="00651525">
        <w:t>Assessment Conditions</w:t>
      </w:r>
    </w:p>
    <w:tbl>
      <w:tblPr>
        <w:tblW w:w="9497" w:type="dxa"/>
        <w:tblLayout w:type="fixed"/>
        <w:tblCellMar>
          <w:left w:w="62" w:type="dxa"/>
          <w:right w:w="62" w:type="dxa"/>
        </w:tblCellMar>
        <w:tblLook w:val="0000"/>
      </w:tblPr>
      <w:tblGrid>
        <w:gridCol w:w="9497"/>
      </w:tblGrid>
      <w:tr w:rsidTr="0065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525" w:rsidP="00651525">
            <w:pPr>
              <w:pStyle w:val="BodyText"/>
            </w:pPr>
            <w:r w:rsidRPr="00651525">
              <w:t xml:space="preserve">Assessors must hold credentials specified within the Standards for Registered Training Organisations current at the time of assessment. </w:t>
            </w:r>
          </w:p>
          <w:p w:rsidR="00000000" w:rsidRPr="00651525" w:rsidP="00651525">
            <w:pPr>
              <w:pStyle w:val="BodyText"/>
            </w:pPr>
            <w:r w:rsidRPr="00651525">
              <w:t>Assessment must satisfy the Principles of Assessment and Rules of Evidence and all regulatory requirements included wit</w:t>
            </w:r>
            <w:r w:rsidRPr="00651525">
              <w:t>hin the Standards for Registered Training Organisations current at the time of assessment.</w:t>
            </w:r>
          </w:p>
          <w:p w:rsidR="00000000" w:rsidRPr="00651525" w:rsidP="00651525">
            <w:pPr>
              <w:pStyle w:val="BodyText"/>
            </w:pPr>
            <w:r w:rsidRPr="00651525">
              <w:t>Assessment must occur in workplace operational situations where it is appropriate to do so; where this is not appropriate, assessment must occur in simulated workpla</w:t>
            </w:r>
            <w:r w:rsidRPr="00651525">
              <w:t>ce operational situations that replicate workplace conditions.</w:t>
            </w:r>
          </w:p>
          <w:p w:rsidR="00000000" w:rsidRPr="00651525" w:rsidP="00651525">
            <w:pPr>
              <w:pStyle w:val="BodyText"/>
            </w:pPr>
            <w:r w:rsidRPr="00651525">
              <w:t>Assessment processes and techniques must be appropriate to the language, literacy and numeracy requirements of the work being performed and the needs of the candidate.</w:t>
            </w:r>
          </w:p>
          <w:p w:rsidR="00000000" w:rsidRPr="00651525" w:rsidP="00651525">
            <w:pPr>
              <w:pStyle w:val="BodyText"/>
            </w:pPr>
            <w:r w:rsidRPr="00651525">
              <w:t xml:space="preserve">Resources for assessment </w:t>
            </w:r>
            <w:r w:rsidRPr="00651525">
              <w:t>must include access to:</w:t>
            </w:r>
          </w:p>
          <w:p w:rsidR="00000000" w:rsidRPr="00651525" w:rsidP="00651525">
            <w:pPr>
              <w:pStyle w:val="ListBullet"/>
            </w:pPr>
            <w:r w:rsidRPr="00651525">
              <w:t>a range of relevant exercises, case studies and/or simulations</w:t>
            </w:r>
          </w:p>
          <w:p w:rsidR="00000000" w:rsidRPr="00651525" w:rsidP="00651525">
            <w:pPr>
              <w:pStyle w:val="ListBullet"/>
            </w:pPr>
            <w:r w:rsidRPr="00651525">
              <w:t>applicable documentation including procedures, regulations and codes of practice.</w:t>
            </w:r>
          </w:p>
        </w:tc>
      </w:tr>
    </w:tbl>
    <w:p w:rsidR="00000000" w:rsidRPr="00651525" w:rsidP="00651525">
      <w:pPr>
        <w:pStyle w:val="NoPaddingFontSize1"/>
      </w:pPr>
    </w:p>
    <w:p w:rsidR="00000000" w:rsidRPr="00651525" w:rsidP="00651525">
      <w:pPr>
        <w:pStyle w:val="AllowPageBreak"/>
      </w:pPr>
    </w:p>
    <w:p w:rsidR="00000000" w:rsidRPr="00651525" w:rsidP="00651525">
      <w:pPr>
        <w:pStyle w:val="Heading1"/>
      </w:pPr>
      <w:bookmarkStart w:id="15" w:name="O_1232617"/>
      <w:bookmarkEnd w:id="15"/>
      <w:r w:rsidRPr="00651525">
        <w:t>Links</w:t>
      </w:r>
    </w:p>
    <w:p w:rsidR="00000000" w:rsidRPr="00651525" w:rsidP="004C70C8">
      <w:pPr>
        <w:pStyle w:val="BodyText"/>
      </w:pPr>
      <w:r w:rsidRPr="0065152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A39FD">
        <w:rPr>
          <w:rStyle w:val="Hyperlink"/>
        </w:rPr>
        <w:t>https://vetnet.gov.au/Pages/TrainingDocs.aspx?q=df441c6e-213d-43e3-874c-0b3f7036d851</w:t>
      </w:r>
      <w:r>
        <w:fldChar w:fldCharType="end"/>
      </w:r>
    </w:p>
    <w:p w:rsidR="00000000" w:rsidRPr="00651525" w:rsidP="00651525"/>
    <w:sectPr w:rsidSect="006515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5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525" w:rsidRPr="004C70C8" w:rsidP="004C70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5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C8" w:rsidP="006515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70C8" w:rsidP="006515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C70C8" w:rsidP="006515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525" w:rsidP="00651525">
    <w:pPr>
      <w:pStyle w:val="Footer"/>
      <w:framePr w:wrap="around"/>
    </w:pPr>
    <w:r>
      <w:fldChar w:fldCharType="begin"/>
    </w:r>
    <w:r>
      <w:instrText xml:space="preserve"> DOCPROPERTY  Subject  \* MERGEFORMAT </w:instrText>
    </w:r>
    <w:r>
      <w:fldChar w:fldCharType="separate"/>
    </w:r>
    <w:r w:rsidR="004C70C8">
      <w:t>Approved</w:t>
    </w:r>
    <w:r w:rsidR="004C70C8">
      <w:fldChar w:fldCharType="end"/>
    </w:r>
    <w:r>
      <w:tab/>
      <w:t xml:space="preserve">Page </w:t>
    </w:r>
    <w:r>
      <w:fldChar w:fldCharType="begin"/>
    </w:r>
    <w:r>
      <w:instrText xml:space="preserve"> PAGE  \* Arabic  \* MERGEFORMAT </w:instrText>
    </w:r>
    <w:r>
      <w:fldChar w:fldCharType="separate"/>
    </w:r>
    <w:r w:rsidR="004C70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70C8">
      <w:rPr>
        <w:noProof/>
      </w:rPr>
      <w:t>5</w:t>
    </w:r>
    <w:r>
      <w:rPr>
        <w:noProof/>
      </w:rPr>
      <w:fldChar w:fldCharType="end"/>
    </w:r>
  </w:p>
  <w:p w:rsidR="00651525" w:rsidP="00651525">
    <w:pPr>
      <w:pStyle w:val="Footer"/>
      <w:framePr w:wrap="around"/>
    </w:pPr>
    <w:r>
      <w:t xml:space="preserve">© Commonwealth of Australia, </w:t>
    </w:r>
    <w:r>
      <w:fldChar w:fldCharType="begin"/>
    </w:r>
    <w:r>
      <w:instrText xml:space="preserve"> DATE  \@ "yyyy"  \* MERGEFORMAT </w:instrText>
    </w:r>
    <w:r>
      <w:fldChar w:fldCharType="separate"/>
    </w:r>
    <w:r w:rsidR="004C70C8">
      <w:rPr>
        <w:noProof/>
      </w:rPr>
      <w:t>2025</w:t>
    </w:r>
    <w:r>
      <w:fldChar w:fldCharType="end"/>
    </w:r>
    <w:r>
      <w:tab/>
    </w:r>
    <w:r>
      <w:fldChar w:fldCharType="begin"/>
    </w:r>
    <w:r>
      <w:instrText xml:space="preserve"> DOCPROPERTY  Author  \* MERGEFORMAT </w:instrText>
    </w:r>
    <w:r>
      <w:fldChar w:fldCharType="separate"/>
    </w:r>
    <w:r w:rsidR="004C70C8">
      <w:t>Industry Skills Australia</w:t>
    </w:r>
    <w:r w:rsidR="004C70C8">
      <w:fldChar w:fldCharType="end"/>
    </w:r>
  </w:p>
  <w:p w:rsidR="00651525" w:rsidP="006515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5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525" w:rsidRPr="004C70C8" w:rsidP="004C70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5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C8" w:rsidRPr="002D2AF8" w:rsidP="00651525">
    <w:pPr>
      <w:pStyle w:val="Header"/>
      <w:framePr w:wrap="around"/>
    </w:pPr>
    <w:r>
      <w:fldChar w:fldCharType="begin"/>
    </w:r>
    <w:r>
      <w:instrText xml:space="preserve"> TITLE   \* MERGEFORMAT </w:instrText>
    </w:r>
    <w:r>
      <w:fldChar w:fldCharType="separate"/>
    </w:r>
    <w:r>
      <w:t>TLIX0037 Apply border clearance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70C8" w:rsidP="006515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525" w:rsidRPr="002D2AF8" w:rsidP="00651525">
    <w:pPr>
      <w:pStyle w:val="Header"/>
      <w:framePr w:wrap="around"/>
    </w:pPr>
    <w:r>
      <w:fldChar w:fldCharType="begin"/>
    </w:r>
    <w:r>
      <w:instrText xml:space="preserve"> TITLE   \* MERGEFORMAT </w:instrText>
    </w:r>
    <w:r>
      <w:fldChar w:fldCharType="separate"/>
    </w:r>
    <w:r w:rsidR="004C70C8">
      <w:t>TLIX0037 Apply border clearance procedures</w:t>
    </w:r>
    <w:r w:rsidR="004C70C8">
      <w:fldChar w:fldCharType="end"/>
    </w:r>
    <w:r>
      <w:tab/>
      <w:t xml:space="preserve">Date this document was generated: </w:t>
    </w:r>
    <w:r>
      <w:fldChar w:fldCharType="begin"/>
    </w:r>
    <w:r>
      <w:instrText xml:space="preserve"> CREATEDATE  \@ "d MMMM yyyy"  \* MERGEFORMAT </w:instrText>
    </w:r>
    <w:r>
      <w:fldChar w:fldCharType="separate"/>
    </w:r>
    <w:r w:rsidR="004C70C8">
      <w:rPr>
        <w:noProof/>
      </w:rPr>
      <w:t>2 March 2025</w:t>
    </w:r>
    <w:r>
      <w:fldChar w:fldCharType="end"/>
    </w:r>
  </w:p>
  <w:p w:rsidR="00651525" w:rsidP="006515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106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621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B68D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5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525"/>
    <w:pPr>
      <w:spacing w:before="360" w:after="60"/>
      <w:outlineLvl w:val="0"/>
    </w:pPr>
    <w:rPr>
      <w:sz w:val="32"/>
    </w:rPr>
  </w:style>
  <w:style w:type="paragraph" w:styleId="Heading2">
    <w:name w:val="heading 2"/>
    <w:basedOn w:val="HeadingBase"/>
    <w:next w:val="BodyText"/>
    <w:link w:val="Heading2Char"/>
    <w:qFormat/>
    <w:rsid w:val="00651525"/>
    <w:pPr>
      <w:keepLines/>
      <w:spacing w:before="240" w:after="120"/>
      <w:outlineLvl w:val="1"/>
    </w:pPr>
    <w:rPr>
      <w:sz w:val="28"/>
      <w:szCs w:val="40"/>
    </w:rPr>
  </w:style>
  <w:style w:type="paragraph" w:styleId="Heading3">
    <w:name w:val="heading 3"/>
    <w:basedOn w:val="HeadingBase"/>
    <w:next w:val="BodyText"/>
    <w:link w:val="Heading3Char"/>
    <w:qFormat/>
    <w:rsid w:val="00651525"/>
    <w:pPr>
      <w:spacing w:before="180" w:after="120"/>
      <w:outlineLvl w:val="2"/>
    </w:pPr>
    <w:rPr>
      <w:spacing w:val="-10"/>
      <w:kern w:val="32"/>
    </w:rPr>
  </w:style>
  <w:style w:type="paragraph" w:styleId="Heading4">
    <w:name w:val="heading 4"/>
    <w:basedOn w:val="HeadingBase"/>
    <w:next w:val="BodyText"/>
    <w:link w:val="Heading4Char"/>
    <w:qFormat/>
    <w:rsid w:val="00651525"/>
    <w:pPr>
      <w:spacing w:before="160" w:after="120"/>
      <w:outlineLvl w:val="3"/>
    </w:pPr>
    <w:rPr>
      <w:sz w:val="22"/>
    </w:rPr>
  </w:style>
  <w:style w:type="paragraph" w:styleId="Heading5">
    <w:name w:val="heading 5"/>
    <w:basedOn w:val="HeadingBase"/>
    <w:next w:val="Normal"/>
    <w:link w:val="Heading5Char"/>
    <w:qFormat/>
    <w:rsid w:val="00651525"/>
    <w:pPr>
      <w:spacing w:before="80"/>
      <w:outlineLvl w:val="4"/>
    </w:pPr>
    <w:rPr>
      <w:color w:val="918585"/>
      <w:sz w:val="20"/>
    </w:rPr>
  </w:style>
  <w:style w:type="paragraph" w:styleId="Heading6">
    <w:name w:val="heading 6"/>
    <w:basedOn w:val="HeadingBase"/>
    <w:next w:val="Normal"/>
    <w:link w:val="Heading6Char"/>
    <w:qFormat/>
    <w:rsid w:val="00651525"/>
    <w:pPr>
      <w:spacing w:before="60"/>
      <w:outlineLvl w:val="5"/>
    </w:pPr>
    <w:rPr>
      <w:color w:val="918585"/>
      <w:sz w:val="20"/>
    </w:rPr>
  </w:style>
  <w:style w:type="paragraph" w:styleId="Heading7">
    <w:name w:val="heading 7"/>
    <w:basedOn w:val="Normal"/>
    <w:next w:val="Normal"/>
    <w:link w:val="Heading7Char"/>
    <w:qFormat/>
    <w:rsid w:val="00651525"/>
    <w:pPr>
      <w:ind w:left="720"/>
      <w:outlineLvl w:val="6"/>
    </w:pPr>
    <w:rPr>
      <w:i/>
    </w:rPr>
  </w:style>
  <w:style w:type="paragraph" w:styleId="Heading8">
    <w:name w:val="heading 8"/>
    <w:basedOn w:val="Normal"/>
    <w:next w:val="Normal"/>
    <w:link w:val="Heading8Char"/>
    <w:qFormat/>
    <w:rsid w:val="00651525"/>
    <w:pPr>
      <w:ind w:left="720"/>
      <w:outlineLvl w:val="7"/>
    </w:pPr>
    <w:rPr>
      <w:i/>
    </w:rPr>
  </w:style>
  <w:style w:type="paragraph" w:styleId="Heading9">
    <w:name w:val="heading 9"/>
    <w:basedOn w:val="Normal"/>
    <w:next w:val="Normal"/>
    <w:link w:val="Heading9Char"/>
    <w:qFormat/>
    <w:rsid w:val="00651525"/>
    <w:pPr>
      <w:ind w:left="720"/>
      <w:outlineLvl w:val="8"/>
    </w:pPr>
    <w:rPr>
      <w:i/>
    </w:rPr>
  </w:style>
  <w:style w:type="character" w:default="1" w:styleId="DefaultParagraphFont">
    <w:name w:val="Default Paragraph Font"/>
    <w:uiPriority w:val="1"/>
    <w:unhideWhenUsed/>
    <w:rsid w:val="006515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525"/>
  </w:style>
  <w:style w:type="character" w:customStyle="1" w:styleId="Heading1Char">
    <w:name w:val="Heading 1 Char"/>
    <w:basedOn w:val="DefaultParagraphFont"/>
    <w:link w:val="Heading1"/>
    <w:rsid w:val="00651525"/>
    <w:rPr>
      <w:rFonts w:ascii="Times New Roman" w:eastAsia="Times New Roman" w:hAnsi="Times New Roman" w:cs="Times New Roman"/>
      <w:b/>
      <w:sz w:val="32"/>
      <w:szCs w:val="20"/>
      <w:lang w:eastAsia="en-US"/>
    </w:rPr>
  </w:style>
  <w:style w:type="paragraph" w:styleId="BodyText">
    <w:name w:val="Body Text"/>
    <w:basedOn w:val="Normal"/>
    <w:link w:val="BodyTextChar"/>
    <w:rsid w:val="006515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525"/>
    <w:rPr>
      <w:rFonts w:ascii="Times New Roman" w:eastAsia="Times New Roman" w:hAnsi="Times New Roman" w:cs="Times New Roman"/>
      <w:sz w:val="24"/>
      <w:lang w:eastAsia="en-US"/>
    </w:rPr>
  </w:style>
  <w:style w:type="paragraph" w:styleId="ListBullet">
    <w:name w:val="List Bullet"/>
    <w:basedOn w:val="List"/>
    <w:rsid w:val="00651525"/>
    <w:pPr>
      <w:numPr>
        <w:numId w:val="12"/>
      </w:numPr>
      <w:tabs>
        <w:tab w:val="clear" w:pos="340"/>
      </w:tabs>
      <w:spacing w:before="40" w:after="40"/>
    </w:pPr>
  </w:style>
  <w:style w:type="character" w:customStyle="1" w:styleId="SpecialBold">
    <w:name w:val="Special Bold"/>
    <w:basedOn w:val="DefaultParagraphFont"/>
    <w:rsid w:val="00651525"/>
    <w:rPr>
      <w:b/>
      <w:spacing w:val="0"/>
    </w:rPr>
  </w:style>
  <w:style w:type="paragraph" w:styleId="ListBullet2">
    <w:name w:val="List Bullet 2"/>
    <w:basedOn w:val="List2"/>
    <w:rsid w:val="00651525"/>
    <w:pPr>
      <w:numPr>
        <w:numId w:val="13"/>
      </w:numPr>
      <w:tabs>
        <w:tab w:val="clear" w:pos="680"/>
      </w:tabs>
    </w:pPr>
  </w:style>
  <w:style w:type="paragraph" w:customStyle="1" w:styleId="SuperHeading">
    <w:name w:val="SuperHeading"/>
    <w:basedOn w:val="Normal"/>
    <w:rsid w:val="00651525"/>
    <w:pPr>
      <w:spacing w:before="240" w:after="120"/>
      <w:outlineLvl w:val="0"/>
    </w:pPr>
    <w:rPr>
      <w:rFonts w:ascii="Times New Roman" w:hAnsi="Times New Roman"/>
      <w:b/>
      <w:sz w:val="32"/>
    </w:rPr>
  </w:style>
  <w:style w:type="paragraph" w:customStyle="1" w:styleId="AllowPageBreak">
    <w:name w:val="AllowPageBreak"/>
    <w:rsid w:val="006515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15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5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5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5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5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5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5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525"/>
    <w:rPr>
      <w:rFonts w:ascii="Courier New" w:eastAsia="Times New Roman" w:hAnsi="Courier New" w:cs="Times New Roman"/>
      <w:i/>
      <w:szCs w:val="20"/>
      <w:lang w:eastAsia="en-US"/>
    </w:rPr>
  </w:style>
  <w:style w:type="paragraph" w:customStyle="1" w:styleId="HeadingBase">
    <w:name w:val="Heading Base"/>
    <w:rsid w:val="006515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525"/>
    <w:pPr>
      <w:tabs>
        <w:tab w:val="right" w:leader="dot" w:pos="9072"/>
      </w:tabs>
      <w:ind w:left="567"/>
    </w:pPr>
    <w:rPr>
      <w:szCs w:val="22"/>
    </w:rPr>
  </w:style>
  <w:style w:type="paragraph" w:customStyle="1" w:styleId="TOCBase">
    <w:name w:val="TOC Base"/>
    <w:rsid w:val="006515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525"/>
    <w:pPr>
      <w:tabs>
        <w:tab w:val="right" w:leader="dot" w:pos="9072"/>
      </w:tabs>
      <w:spacing w:before="40" w:after="40"/>
      <w:ind w:left="284"/>
    </w:pPr>
    <w:rPr>
      <w:rFonts w:ascii="Times New Roman" w:hAnsi="Times New Roman"/>
    </w:rPr>
  </w:style>
  <w:style w:type="paragraph" w:styleId="TOC1">
    <w:name w:val="toc 1"/>
    <w:basedOn w:val="TOCBase"/>
    <w:next w:val="Normal"/>
    <w:rsid w:val="006515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5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525"/>
    <w:rPr>
      <w:rFonts w:ascii="Times New Roman" w:eastAsia="Times New Roman" w:hAnsi="Times New Roman" w:cs="Times New Roman"/>
      <w:sz w:val="16"/>
      <w:lang w:eastAsia="en-US"/>
    </w:rPr>
  </w:style>
  <w:style w:type="paragraph" w:styleId="Title">
    <w:name w:val="Title"/>
    <w:basedOn w:val="HeadingBase"/>
    <w:link w:val="TitleChar"/>
    <w:qFormat/>
    <w:rsid w:val="00651525"/>
    <w:pPr>
      <w:spacing w:before="5040"/>
      <w:jc w:val="center"/>
    </w:pPr>
    <w:rPr>
      <w:sz w:val="48"/>
      <w:szCs w:val="72"/>
      <w:lang w:val="en-US"/>
    </w:rPr>
  </w:style>
  <w:style w:type="character" w:customStyle="1" w:styleId="TitleChar">
    <w:name w:val="Title Char"/>
    <w:basedOn w:val="DefaultParagraphFont"/>
    <w:link w:val="Title"/>
    <w:rsid w:val="006515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525"/>
    <w:pPr>
      <w:tabs>
        <w:tab w:val="left" w:pos="3600"/>
        <w:tab w:val="left" w:pos="3958"/>
      </w:tabs>
    </w:pPr>
  </w:style>
  <w:style w:type="paragraph" w:styleId="List">
    <w:name w:val="List"/>
    <w:basedOn w:val="BodyText"/>
    <w:next w:val="BodyText"/>
    <w:rsid w:val="00651525"/>
    <w:pPr>
      <w:tabs>
        <w:tab w:val="left" w:pos="340"/>
      </w:tabs>
      <w:spacing w:before="60" w:after="60"/>
      <w:ind w:left="340" w:hanging="340"/>
    </w:pPr>
  </w:style>
  <w:style w:type="paragraph" w:customStyle="1" w:styleId="Note">
    <w:name w:val="Note"/>
    <w:basedOn w:val="BodyText"/>
    <w:rsid w:val="006515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525"/>
    <w:pPr>
      <w:framePr w:wrap="auto" w:hAnchor="text" w:y="6049"/>
    </w:pPr>
    <w:rPr>
      <w:color w:val="000000"/>
      <w:sz w:val="40"/>
    </w:rPr>
  </w:style>
  <w:style w:type="paragraph" w:customStyle="1" w:styleId="TOCTitle">
    <w:name w:val="TOCTitle"/>
    <w:basedOn w:val="Heading1"/>
    <w:rsid w:val="00651525"/>
    <w:pPr>
      <w:spacing w:after="240"/>
      <w:jc w:val="center"/>
      <w:outlineLvl w:val="9"/>
    </w:pPr>
    <w:rPr>
      <w:caps/>
    </w:rPr>
  </w:style>
  <w:style w:type="paragraph" w:customStyle="1" w:styleId="Version">
    <w:name w:val="Version"/>
    <w:rsid w:val="006515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1525"/>
    <w:pPr>
      <w:keepNext w:val="0"/>
      <w:tabs>
        <w:tab w:val="right" w:pos="4176"/>
      </w:tabs>
      <w:ind w:left="198" w:hanging="198"/>
    </w:pPr>
    <w:rPr>
      <w:rFonts w:ascii="Garamond" w:hAnsi="Garamond"/>
    </w:rPr>
  </w:style>
  <w:style w:type="paragraph" w:styleId="IndexHeading">
    <w:name w:val="index heading"/>
    <w:basedOn w:val="Normal"/>
    <w:next w:val="Index1"/>
    <w:semiHidden/>
    <w:rsid w:val="00651525"/>
    <w:pPr>
      <w:spacing w:before="120" w:after="120"/>
    </w:pPr>
    <w:rPr>
      <w:rFonts w:ascii="Arial" w:hAnsi="Arial"/>
      <w:b/>
      <w:color w:val="918585"/>
      <w:sz w:val="24"/>
    </w:rPr>
  </w:style>
  <w:style w:type="paragraph" w:styleId="Header">
    <w:name w:val="header"/>
    <w:basedOn w:val="Normal"/>
    <w:link w:val="HeaderChar"/>
    <w:rsid w:val="006515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525"/>
    <w:rPr>
      <w:rFonts w:ascii="Times New Roman" w:eastAsia="Times New Roman" w:hAnsi="Times New Roman" w:cs="Times New Roman"/>
      <w:sz w:val="16"/>
      <w:szCs w:val="20"/>
      <w:lang w:val="en-GB" w:eastAsia="en-US"/>
    </w:rPr>
  </w:style>
  <w:style w:type="paragraph" w:customStyle="1" w:styleId="Chapter">
    <w:name w:val="Chapter"/>
    <w:basedOn w:val="Normal"/>
    <w:rsid w:val="00651525"/>
    <w:pPr>
      <w:spacing w:before="240"/>
    </w:pPr>
    <w:rPr>
      <w:rFonts w:ascii="Times New Roman" w:hAnsi="Times New Roman"/>
      <w:smallCaps/>
      <w:spacing w:val="80"/>
      <w:sz w:val="28"/>
    </w:rPr>
  </w:style>
  <w:style w:type="paragraph" w:customStyle="1" w:styleId="InChapter">
    <w:name w:val="InChapter"/>
    <w:basedOn w:val="Heading3"/>
    <w:rsid w:val="00651525"/>
    <w:pPr>
      <w:spacing w:after="240"/>
      <w:outlineLvl w:val="9"/>
    </w:pPr>
    <w:rPr>
      <w:noProof/>
    </w:rPr>
  </w:style>
  <w:style w:type="paragraph" w:styleId="Index2">
    <w:name w:val="index 2"/>
    <w:basedOn w:val="Normal"/>
    <w:next w:val="Normal"/>
    <w:semiHidden/>
    <w:rsid w:val="00651525"/>
    <w:pPr>
      <w:tabs>
        <w:tab w:val="right" w:pos="4176"/>
      </w:tabs>
      <w:ind w:left="568" w:hanging="284"/>
    </w:pPr>
    <w:rPr>
      <w:rFonts w:ascii="Garamond" w:hAnsi="Garamond"/>
    </w:rPr>
  </w:style>
  <w:style w:type="paragraph" w:customStyle="1" w:styleId="Byline">
    <w:name w:val="Byline"/>
    <w:rsid w:val="006515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525"/>
    <w:pPr>
      <w:tabs>
        <w:tab w:val="clear" w:pos="3600"/>
        <w:tab w:val="clear" w:pos="3958"/>
      </w:tabs>
      <w:jc w:val="right"/>
    </w:pPr>
  </w:style>
  <w:style w:type="character" w:styleId="Emphasis">
    <w:name w:val="Emphasis"/>
    <w:basedOn w:val="DefaultParagraphFont"/>
    <w:qFormat/>
    <w:rsid w:val="00651525"/>
    <w:rPr>
      <w:i/>
    </w:rPr>
  </w:style>
  <w:style w:type="paragraph" w:styleId="Caption">
    <w:name w:val="caption"/>
    <w:basedOn w:val="BodyText"/>
    <w:next w:val="Normal"/>
    <w:qFormat/>
    <w:rsid w:val="00651525"/>
    <w:pPr>
      <w:framePr w:w="2268" w:hSpace="181" w:vSpace="181" w:wrap="around" w:vAnchor="text" w:hAnchor="page" w:x="1135" w:y="285" w:anchorLock="1"/>
    </w:pPr>
    <w:rPr>
      <w:i/>
    </w:rPr>
  </w:style>
  <w:style w:type="paragraph" w:customStyle="1" w:styleId="MiniTOCTitle">
    <w:name w:val="MiniTOCTitle"/>
    <w:basedOn w:val="Heading4"/>
    <w:rsid w:val="00651525"/>
    <w:pPr>
      <w:spacing w:before="240"/>
      <w:outlineLvl w:val="9"/>
    </w:pPr>
    <w:rPr>
      <w:noProof/>
      <w:sz w:val="24"/>
    </w:rPr>
  </w:style>
  <w:style w:type="paragraph" w:customStyle="1" w:styleId="MiniTOCItem">
    <w:name w:val="MiniTOCItem"/>
    <w:basedOn w:val="ListBullet"/>
    <w:rsid w:val="00651525"/>
    <w:pPr>
      <w:numPr>
        <w:numId w:val="0"/>
      </w:numPr>
      <w:tabs>
        <w:tab w:val="right" w:leader="dot" w:pos="6521"/>
      </w:tabs>
      <w:spacing w:before="0" w:after="0"/>
    </w:pPr>
  </w:style>
  <w:style w:type="paragraph" w:customStyle="1" w:styleId="TOFTitle">
    <w:name w:val="TOFTitle"/>
    <w:basedOn w:val="TOCTitle"/>
    <w:rsid w:val="00651525"/>
  </w:style>
  <w:style w:type="paragraph" w:styleId="TableofFigures">
    <w:name w:val="table of figures"/>
    <w:basedOn w:val="Normal"/>
    <w:next w:val="Normal"/>
    <w:semiHidden/>
    <w:rsid w:val="00651525"/>
    <w:pPr>
      <w:tabs>
        <w:tab w:val="right" w:leader="dot" w:pos="9072"/>
      </w:tabs>
      <w:ind w:left="970" w:hanging="403"/>
    </w:pPr>
    <w:rPr>
      <w:rFonts w:ascii="Times New Roman" w:hAnsi="Times New Roman"/>
      <w:b/>
    </w:rPr>
  </w:style>
  <w:style w:type="paragraph" w:styleId="ListNumber">
    <w:name w:val="List Number"/>
    <w:basedOn w:val="List"/>
    <w:rsid w:val="00651525"/>
    <w:pPr>
      <w:numPr>
        <w:numId w:val="15"/>
      </w:numPr>
      <w:tabs>
        <w:tab w:val="clear" w:pos="340"/>
      </w:tabs>
    </w:pPr>
  </w:style>
  <w:style w:type="character" w:customStyle="1" w:styleId="WingdingSymbols">
    <w:name w:val="Wingding Symbols"/>
    <w:rsid w:val="00651525"/>
    <w:rPr>
      <w:rFonts w:ascii="Wingdings" w:hAnsi="Wingdings"/>
    </w:rPr>
  </w:style>
  <w:style w:type="paragraph" w:customStyle="1" w:styleId="TableHeading">
    <w:name w:val="Table Heading"/>
    <w:basedOn w:val="HeadingBase"/>
    <w:rsid w:val="00651525"/>
    <w:pPr>
      <w:keepLines/>
      <w:pBdr>
        <w:bottom w:val="single" w:sz="6" w:space="1" w:color="918585"/>
      </w:pBdr>
      <w:spacing w:before="240"/>
    </w:pPr>
  </w:style>
  <w:style w:type="character" w:customStyle="1" w:styleId="HotSpot">
    <w:name w:val="HotSpot"/>
    <w:rsid w:val="00651525"/>
    <w:rPr>
      <w:color w:val="0033CC"/>
      <w:u w:val="none"/>
    </w:rPr>
  </w:style>
  <w:style w:type="paragraph" w:customStyle="1" w:styleId="BodyTextRight">
    <w:name w:val="Body Text Right"/>
    <w:basedOn w:val="BodyText"/>
    <w:rsid w:val="00651525"/>
    <w:pPr>
      <w:spacing w:before="0" w:after="0"/>
      <w:jc w:val="right"/>
    </w:pPr>
  </w:style>
  <w:style w:type="paragraph" w:styleId="Index3">
    <w:name w:val="index 3"/>
    <w:basedOn w:val="ListNumber2"/>
    <w:next w:val="Normal"/>
    <w:semiHidden/>
    <w:rsid w:val="00651525"/>
    <w:pPr>
      <w:numPr>
        <w:numId w:val="0"/>
      </w:numPr>
      <w:tabs>
        <w:tab w:val="right" w:leader="dot" w:pos="4176"/>
      </w:tabs>
    </w:pPr>
  </w:style>
  <w:style w:type="paragraph" w:styleId="ListNumber2">
    <w:name w:val="List Number 2"/>
    <w:basedOn w:val="List2"/>
    <w:rsid w:val="00651525"/>
    <w:pPr>
      <w:numPr>
        <w:numId w:val="10"/>
      </w:numPr>
      <w:tabs>
        <w:tab w:val="clear" w:pos="1060"/>
      </w:tabs>
    </w:pPr>
  </w:style>
  <w:style w:type="paragraph" w:customStyle="1" w:styleId="MarginNote">
    <w:name w:val="Margin Note"/>
    <w:basedOn w:val="BodyText"/>
    <w:rsid w:val="006515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5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5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525"/>
    <w:rPr>
      <w:sz w:val="32"/>
    </w:rPr>
  </w:style>
  <w:style w:type="paragraph" w:customStyle="1" w:styleId="HeadingProcedure">
    <w:name w:val="Heading Procedure"/>
    <w:basedOn w:val="HeadingBase"/>
    <w:next w:val="Normal"/>
    <w:rsid w:val="00651525"/>
    <w:pPr>
      <w:tabs>
        <w:tab w:val="left" w:pos="0"/>
      </w:tabs>
      <w:spacing w:before="120" w:after="60"/>
    </w:pPr>
    <w:rPr>
      <w:i/>
      <w:color w:val="918585"/>
      <w:sz w:val="22"/>
    </w:rPr>
  </w:style>
  <w:style w:type="paragraph" w:customStyle="1" w:styleId="TableBodyText">
    <w:name w:val="Table Body Text"/>
    <w:basedOn w:val="BodyText"/>
    <w:rsid w:val="00651525"/>
    <w:pPr>
      <w:spacing w:before="60" w:after="60"/>
    </w:pPr>
  </w:style>
  <w:style w:type="paragraph" w:styleId="ListContinue">
    <w:name w:val="List Continue"/>
    <w:basedOn w:val="List"/>
    <w:rsid w:val="00651525"/>
    <w:pPr>
      <w:ind w:firstLine="0"/>
    </w:pPr>
  </w:style>
  <w:style w:type="paragraph" w:customStyle="1" w:styleId="ListNote">
    <w:name w:val="List Note"/>
    <w:basedOn w:val="List"/>
    <w:rsid w:val="00651525"/>
    <w:pPr>
      <w:pBdr>
        <w:top w:val="single" w:sz="6" w:space="2" w:color="918585"/>
        <w:bottom w:val="single" w:sz="6" w:space="2" w:color="918585"/>
      </w:pBdr>
      <w:tabs>
        <w:tab w:val="left" w:pos="1021"/>
      </w:tabs>
      <w:ind w:firstLine="0"/>
    </w:pPr>
  </w:style>
  <w:style w:type="paragraph" w:customStyle="1" w:styleId="Warning">
    <w:name w:val="Warning"/>
    <w:basedOn w:val="BodyText"/>
    <w:rsid w:val="00651525"/>
    <w:pPr>
      <w:shd w:val="clear" w:color="auto" w:fill="D9D9D9"/>
      <w:tabs>
        <w:tab w:val="left" w:pos="992"/>
      </w:tabs>
      <w:ind w:left="119" w:right="119"/>
    </w:pPr>
    <w:rPr>
      <w:sz w:val="20"/>
    </w:rPr>
  </w:style>
  <w:style w:type="paragraph" w:customStyle="1" w:styleId="MarginIcons">
    <w:name w:val="Margin Icons"/>
    <w:basedOn w:val="BodyText"/>
    <w:rsid w:val="006515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525"/>
    <w:rPr>
      <w:rFonts w:ascii="Courier New" w:hAnsi="Courier New"/>
    </w:rPr>
  </w:style>
  <w:style w:type="paragraph" w:customStyle="1" w:styleId="NoteBullet">
    <w:name w:val="Note Bullet"/>
    <w:basedOn w:val="Note"/>
    <w:rsid w:val="00651525"/>
    <w:pPr>
      <w:tabs>
        <w:tab w:val="clear" w:pos="680"/>
      </w:tabs>
      <w:spacing w:before="60" w:after="60"/>
    </w:pPr>
  </w:style>
  <w:style w:type="paragraph" w:customStyle="1" w:styleId="SubHeading2">
    <w:name w:val="SubHeading2"/>
    <w:basedOn w:val="HeadingBase"/>
    <w:rsid w:val="00651525"/>
    <w:pPr>
      <w:spacing w:before="240" w:after="60"/>
    </w:pPr>
    <w:rPr>
      <w:sz w:val="20"/>
    </w:rPr>
  </w:style>
  <w:style w:type="paragraph" w:customStyle="1" w:styleId="SubHeading1">
    <w:name w:val="SubHeading1"/>
    <w:basedOn w:val="HeadingBase"/>
    <w:rsid w:val="00651525"/>
    <w:pPr>
      <w:spacing w:before="240" w:after="60"/>
    </w:pPr>
    <w:rPr>
      <w:color w:val="918585"/>
      <w:sz w:val="22"/>
    </w:rPr>
  </w:style>
  <w:style w:type="paragraph" w:customStyle="1" w:styleId="SideHeading">
    <w:name w:val="Side Heading"/>
    <w:basedOn w:val="HeadingBase"/>
    <w:rsid w:val="006515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525"/>
    <w:pPr>
      <w:tabs>
        <w:tab w:val="num" w:pos="360"/>
      </w:tabs>
    </w:pPr>
  </w:style>
  <w:style w:type="paragraph" w:styleId="PlainText">
    <w:name w:val="Plain Text"/>
    <w:basedOn w:val="Normal"/>
    <w:link w:val="PlainTextChar"/>
    <w:rsid w:val="00651525"/>
    <w:rPr>
      <w:sz w:val="20"/>
    </w:rPr>
  </w:style>
  <w:style w:type="character" w:customStyle="1" w:styleId="PlainTextChar">
    <w:name w:val="Plain Text Char"/>
    <w:basedOn w:val="DefaultParagraphFont"/>
    <w:link w:val="PlainText"/>
    <w:rsid w:val="00651525"/>
    <w:rPr>
      <w:rFonts w:ascii="Courier New" w:eastAsia="Times New Roman" w:hAnsi="Courier New" w:cs="Times New Roman"/>
      <w:sz w:val="20"/>
      <w:szCs w:val="20"/>
      <w:lang w:eastAsia="en-US"/>
    </w:rPr>
  </w:style>
  <w:style w:type="character" w:customStyle="1" w:styleId="MenuOption">
    <w:name w:val="Menu Option"/>
    <w:basedOn w:val="DefaultParagraphFont"/>
    <w:rsid w:val="00651525"/>
    <w:rPr>
      <w:b/>
      <w:smallCaps/>
    </w:rPr>
  </w:style>
  <w:style w:type="paragraph" w:customStyle="1" w:styleId="TableListNumber">
    <w:name w:val="Table List Number"/>
    <w:basedOn w:val="ListNumber"/>
    <w:rsid w:val="00651525"/>
    <w:pPr>
      <w:numPr>
        <w:numId w:val="0"/>
      </w:numPr>
    </w:pPr>
  </w:style>
  <w:style w:type="paragraph" w:styleId="TOC4">
    <w:name w:val="toc 4"/>
    <w:basedOn w:val="TOCBase"/>
    <w:next w:val="Normal"/>
    <w:semiHidden/>
    <w:rsid w:val="00651525"/>
    <w:pPr>
      <w:tabs>
        <w:tab w:val="right" w:leader="dot" w:pos="9071"/>
      </w:tabs>
      <w:ind w:left="1701"/>
    </w:pPr>
  </w:style>
  <w:style w:type="paragraph" w:customStyle="1" w:styleId="ListAlpha">
    <w:name w:val="List Alpha"/>
    <w:basedOn w:val="List"/>
    <w:rsid w:val="00651525"/>
    <w:pPr>
      <w:numPr>
        <w:numId w:val="9"/>
      </w:numPr>
    </w:pPr>
  </w:style>
  <w:style w:type="paragraph" w:customStyle="1" w:styleId="ListAlpha2">
    <w:name w:val="List Alpha 2"/>
    <w:basedOn w:val="List2"/>
    <w:rsid w:val="00651525"/>
    <w:pPr>
      <w:numPr>
        <w:numId w:val="8"/>
      </w:numPr>
    </w:pPr>
  </w:style>
  <w:style w:type="paragraph" w:styleId="List2">
    <w:name w:val="List 2"/>
    <w:basedOn w:val="BodyText"/>
    <w:rsid w:val="00651525"/>
    <w:pPr>
      <w:tabs>
        <w:tab w:val="left" w:pos="680"/>
      </w:tabs>
      <w:spacing w:before="60" w:after="60"/>
      <w:ind w:left="680" w:hanging="340"/>
    </w:pPr>
  </w:style>
  <w:style w:type="paragraph" w:styleId="List3">
    <w:name w:val="List 3"/>
    <w:basedOn w:val="BodyText"/>
    <w:rsid w:val="00651525"/>
    <w:pPr>
      <w:tabs>
        <w:tab w:val="left" w:pos="1021"/>
      </w:tabs>
      <w:spacing w:before="60" w:after="60"/>
      <w:ind w:left="1020" w:hanging="340"/>
    </w:pPr>
  </w:style>
  <w:style w:type="paragraph" w:styleId="List4">
    <w:name w:val="List 4"/>
    <w:basedOn w:val="BodyText"/>
    <w:rsid w:val="00651525"/>
    <w:pPr>
      <w:tabs>
        <w:tab w:val="left" w:pos="1361"/>
      </w:tabs>
      <w:spacing w:before="60" w:after="60"/>
      <w:ind w:left="1361" w:hanging="340"/>
    </w:pPr>
  </w:style>
  <w:style w:type="paragraph" w:styleId="List5">
    <w:name w:val="List 5"/>
    <w:basedOn w:val="BodyText"/>
    <w:rsid w:val="00651525"/>
    <w:pPr>
      <w:tabs>
        <w:tab w:val="left" w:pos="1701"/>
      </w:tabs>
      <w:spacing w:before="60" w:after="60"/>
      <w:ind w:left="1701" w:hanging="340"/>
    </w:pPr>
  </w:style>
  <w:style w:type="paragraph" w:styleId="ListBullet3">
    <w:name w:val="List Bullet 3"/>
    <w:basedOn w:val="List3"/>
    <w:rsid w:val="00651525"/>
    <w:pPr>
      <w:numPr>
        <w:numId w:val="14"/>
      </w:numPr>
      <w:tabs>
        <w:tab w:val="clear" w:pos="1021"/>
      </w:tabs>
      <w:ind w:left="1037" w:hanging="357"/>
    </w:pPr>
  </w:style>
  <w:style w:type="paragraph" w:styleId="ListBullet4">
    <w:name w:val="List Bullet 4"/>
    <w:basedOn w:val="List4"/>
    <w:rsid w:val="00651525"/>
    <w:pPr>
      <w:numPr>
        <w:numId w:val="3"/>
      </w:numPr>
      <w:tabs>
        <w:tab w:val="clear" w:pos="1361"/>
      </w:tabs>
    </w:pPr>
  </w:style>
  <w:style w:type="paragraph" w:styleId="ListBullet5">
    <w:name w:val="List Bullet 5"/>
    <w:basedOn w:val="List5"/>
    <w:rsid w:val="00651525"/>
    <w:pPr>
      <w:numPr>
        <w:numId w:val="4"/>
      </w:numPr>
    </w:pPr>
  </w:style>
  <w:style w:type="paragraph" w:styleId="ListContinue2">
    <w:name w:val="List Continue 2"/>
    <w:basedOn w:val="List2"/>
    <w:rsid w:val="00651525"/>
    <w:pPr>
      <w:ind w:firstLine="0"/>
    </w:pPr>
  </w:style>
  <w:style w:type="paragraph" w:styleId="ListContinue3">
    <w:name w:val="List Continue 3"/>
    <w:basedOn w:val="List3"/>
    <w:rsid w:val="00651525"/>
    <w:pPr>
      <w:ind w:left="1021" w:firstLine="0"/>
    </w:pPr>
  </w:style>
  <w:style w:type="paragraph" w:styleId="ListContinue4">
    <w:name w:val="List Continue 4"/>
    <w:basedOn w:val="List4"/>
    <w:rsid w:val="00651525"/>
    <w:pPr>
      <w:ind w:firstLine="0"/>
    </w:pPr>
  </w:style>
  <w:style w:type="paragraph" w:styleId="ListContinue5">
    <w:name w:val="List Continue 5"/>
    <w:basedOn w:val="List5"/>
    <w:rsid w:val="00651525"/>
    <w:pPr>
      <w:ind w:firstLine="0"/>
    </w:pPr>
  </w:style>
  <w:style w:type="paragraph" w:styleId="ListNumber3">
    <w:name w:val="List Number 3"/>
    <w:basedOn w:val="List3"/>
    <w:rsid w:val="00651525"/>
    <w:pPr>
      <w:numPr>
        <w:numId w:val="5"/>
      </w:numPr>
    </w:pPr>
  </w:style>
  <w:style w:type="paragraph" w:styleId="ListNumber4">
    <w:name w:val="List Number 4"/>
    <w:basedOn w:val="List4"/>
    <w:rsid w:val="00651525"/>
    <w:pPr>
      <w:numPr>
        <w:numId w:val="6"/>
      </w:numPr>
    </w:pPr>
  </w:style>
  <w:style w:type="paragraph" w:styleId="ListNumber5">
    <w:name w:val="List Number 5"/>
    <w:basedOn w:val="List5"/>
    <w:rsid w:val="00651525"/>
    <w:pPr>
      <w:numPr>
        <w:numId w:val="7"/>
      </w:numPr>
    </w:pPr>
  </w:style>
  <w:style w:type="paragraph" w:styleId="BlockText">
    <w:name w:val="Block Text"/>
    <w:basedOn w:val="Normal"/>
    <w:rsid w:val="00651525"/>
    <w:pPr>
      <w:spacing w:after="120"/>
      <w:ind w:left="1440" w:right="1440"/>
    </w:pPr>
  </w:style>
  <w:style w:type="character" w:customStyle="1" w:styleId="Subscript">
    <w:name w:val="Subscript"/>
    <w:basedOn w:val="DefaultParagraphFont"/>
    <w:rsid w:val="00651525"/>
    <w:rPr>
      <w:sz w:val="16"/>
      <w:vertAlign w:val="subscript"/>
    </w:rPr>
  </w:style>
  <w:style w:type="character" w:customStyle="1" w:styleId="Superscript">
    <w:name w:val="Superscript"/>
    <w:basedOn w:val="DefaultParagraphFont"/>
    <w:rsid w:val="00651525"/>
    <w:rPr>
      <w:sz w:val="16"/>
      <w:vertAlign w:val="superscript"/>
    </w:rPr>
  </w:style>
  <w:style w:type="character" w:customStyle="1" w:styleId="Symbols">
    <w:name w:val="Symbols"/>
    <w:basedOn w:val="DefaultParagraphFont"/>
    <w:rsid w:val="00651525"/>
    <w:rPr>
      <w:rFonts w:ascii="Symbol" w:hAnsi="Symbol"/>
    </w:rPr>
  </w:style>
  <w:style w:type="character" w:customStyle="1" w:styleId="MenuOptions">
    <w:name w:val="Menu Options"/>
    <w:basedOn w:val="DefaultParagraphFont"/>
    <w:rsid w:val="00651525"/>
    <w:rPr>
      <w:rFonts w:ascii="Arial Narrow" w:hAnsi="Arial Narrow"/>
      <w:smallCaps/>
    </w:rPr>
  </w:style>
  <w:style w:type="character" w:customStyle="1" w:styleId="Buttons">
    <w:name w:val="Buttons"/>
    <w:basedOn w:val="DefaultParagraphFont"/>
    <w:rsid w:val="00651525"/>
    <w:rPr>
      <w:b/>
    </w:rPr>
  </w:style>
  <w:style w:type="character" w:customStyle="1" w:styleId="Underlined">
    <w:name w:val="Underlined"/>
    <w:basedOn w:val="DefaultParagraphFont"/>
    <w:rsid w:val="00651525"/>
    <w:rPr>
      <w:u w:val="single"/>
    </w:rPr>
  </w:style>
  <w:style w:type="paragraph" w:customStyle="1" w:styleId="TableBodyTextRight">
    <w:name w:val="Table Body Text Right"/>
    <w:basedOn w:val="TableBodyText"/>
    <w:rsid w:val="00651525"/>
    <w:pPr>
      <w:widowControl w:val="0"/>
      <w:autoSpaceDE w:val="0"/>
      <w:autoSpaceDN w:val="0"/>
      <w:adjustRightInd w:val="0"/>
      <w:jc w:val="right"/>
    </w:pPr>
    <w:rPr>
      <w:rFonts w:cs="Arial"/>
      <w:szCs w:val="18"/>
    </w:rPr>
  </w:style>
  <w:style w:type="paragraph" w:customStyle="1" w:styleId="CopyrightText">
    <w:name w:val="Copyright Text"/>
    <w:basedOn w:val="BodyText"/>
    <w:rsid w:val="00651525"/>
    <w:rPr>
      <w:sz w:val="18"/>
    </w:rPr>
  </w:style>
  <w:style w:type="paragraph" w:customStyle="1" w:styleId="BodySmallRight">
    <w:name w:val="Body Small Right"/>
    <w:basedOn w:val="BodyTextRight"/>
    <w:rsid w:val="00651525"/>
    <w:rPr>
      <w:sz w:val="18"/>
      <w:szCs w:val="18"/>
    </w:rPr>
  </w:style>
  <w:style w:type="paragraph" w:customStyle="1" w:styleId="MarginEdition">
    <w:name w:val="Margin Edition"/>
    <w:basedOn w:val="MarginNote"/>
    <w:rsid w:val="00651525"/>
    <w:pPr>
      <w:spacing w:before="0" w:after="0"/>
    </w:pPr>
    <w:rPr>
      <w:rFonts w:ascii="Times New Roman" w:hAnsi="Times New Roman"/>
      <w:color w:val="999999"/>
    </w:rPr>
  </w:style>
  <w:style w:type="paragraph" w:customStyle="1" w:styleId="Spacer">
    <w:name w:val="Spacer"/>
    <w:basedOn w:val="Normal"/>
    <w:rsid w:val="00651525"/>
    <w:rPr>
      <w:sz w:val="2"/>
      <w:szCs w:val="2"/>
    </w:rPr>
  </w:style>
  <w:style w:type="character" w:customStyle="1" w:styleId="Small">
    <w:name w:val="Small"/>
    <w:basedOn w:val="DefaultParagraphFont"/>
    <w:rsid w:val="00651525"/>
    <w:rPr>
      <w:sz w:val="16"/>
    </w:rPr>
  </w:style>
  <w:style w:type="paragraph" w:customStyle="1" w:styleId="WideTable">
    <w:name w:val="Wide Table"/>
    <w:basedOn w:val="Normal"/>
    <w:rsid w:val="00651525"/>
    <w:pPr>
      <w:ind w:left="-1418"/>
    </w:pPr>
    <w:rPr>
      <w:sz w:val="2"/>
      <w:szCs w:val="2"/>
    </w:rPr>
  </w:style>
  <w:style w:type="character" w:styleId="PageNumber">
    <w:name w:val="page number"/>
    <w:basedOn w:val="DefaultParagraphFont"/>
    <w:rsid w:val="00651525"/>
  </w:style>
  <w:style w:type="paragraph" w:styleId="Quote">
    <w:name w:val="Quote"/>
    <w:basedOn w:val="Heading1"/>
    <w:link w:val="QuoteChar"/>
    <w:qFormat/>
    <w:rsid w:val="00651525"/>
    <w:rPr>
      <w:b w:val="0"/>
      <w:sz w:val="72"/>
      <w:szCs w:val="72"/>
      <w:lang w:val="en-NZ"/>
    </w:rPr>
  </w:style>
  <w:style w:type="character" w:customStyle="1" w:styleId="QuoteChar">
    <w:name w:val="Quote Char"/>
    <w:basedOn w:val="DefaultParagraphFont"/>
    <w:link w:val="Quote"/>
    <w:rsid w:val="006515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525"/>
    <w:pPr>
      <w:pageBreakBefore/>
    </w:pPr>
  </w:style>
  <w:style w:type="paragraph" w:customStyle="1" w:styleId="Border">
    <w:name w:val="Border"/>
    <w:basedOn w:val="Normal"/>
    <w:qFormat/>
    <w:rsid w:val="006515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525"/>
    <w:rPr>
      <w:b/>
      <w:bCs/>
      <w:i/>
      <w:iCs/>
      <w:color w:val="auto"/>
    </w:rPr>
  </w:style>
  <w:style w:type="paragraph" w:styleId="IntenseQuote">
    <w:name w:val="Intense Quote"/>
    <w:basedOn w:val="Normal"/>
    <w:next w:val="Normal"/>
    <w:link w:val="IntenseQuoteChar"/>
    <w:uiPriority w:val="30"/>
    <w:qFormat/>
    <w:rsid w:val="006515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5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525"/>
    <w:rPr>
      <w:smallCaps/>
      <w:color w:val="auto"/>
      <w:u w:val="single"/>
    </w:rPr>
  </w:style>
  <w:style w:type="character" w:styleId="IntenseReference">
    <w:name w:val="Intense Reference"/>
    <w:basedOn w:val="DefaultParagraphFont"/>
    <w:uiPriority w:val="32"/>
    <w:qFormat/>
    <w:rsid w:val="00651525"/>
    <w:rPr>
      <w:b/>
      <w:bCs/>
      <w:smallCaps/>
      <w:color w:val="auto"/>
      <w:spacing w:val="5"/>
      <w:u w:val="single"/>
    </w:rPr>
  </w:style>
  <w:style w:type="paragraph" w:customStyle="1" w:styleId="2ColumnHeading">
    <w:name w:val="2Column Heading"/>
    <w:basedOn w:val="BodyText"/>
    <w:qFormat/>
    <w:rsid w:val="00651525"/>
    <w:pPr>
      <w:spacing w:after="60"/>
      <w:ind w:left="-2268"/>
    </w:pPr>
    <w:rPr>
      <w:b/>
    </w:rPr>
  </w:style>
  <w:style w:type="paragraph" w:customStyle="1" w:styleId="Heading1TOC">
    <w:name w:val="Heading1 TOC"/>
    <w:basedOn w:val="Normal"/>
    <w:qFormat/>
    <w:rsid w:val="00651525"/>
    <w:pPr>
      <w:spacing w:before="240" w:after="120"/>
    </w:pPr>
    <w:rPr>
      <w:rFonts w:ascii="Times New Roman" w:hAnsi="Times New Roman"/>
      <w:b/>
      <w:sz w:val="32"/>
    </w:rPr>
  </w:style>
  <w:style w:type="paragraph" w:customStyle="1" w:styleId="Heading2TOC">
    <w:name w:val="Heading2 TOC"/>
    <w:basedOn w:val="Normal"/>
    <w:qFormat/>
    <w:rsid w:val="00651525"/>
    <w:pPr>
      <w:spacing w:before="240" w:after="60"/>
    </w:pPr>
    <w:rPr>
      <w:rFonts w:ascii="Times New Roman" w:hAnsi="Times New Roman"/>
      <w:b/>
      <w:sz w:val="28"/>
    </w:rPr>
  </w:style>
  <w:style w:type="character" w:customStyle="1" w:styleId="Underline">
    <w:name w:val="Underline"/>
    <w:basedOn w:val="DefaultParagraphFont"/>
    <w:qFormat/>
    <w:rsid w:val="00651525"/>
    <w:rPr>
      <w:u w:val="single"/>
    </w:rPr>
  </w:style>
  <w:style w:type="character" w:customStyle="1" w:styleId="BoldandItalics">
    <w:name w:val="Bold and Italics"/>
    <w:qFormat/>
    <w:rsid w:val="00651525"/>
    <w:rPr>
      <w:b/>
      <w:i/>
      <w:u w:val="none"/>
    </w:rPr>
  </w:style>
  <w:style w:type="paragraph" w:styleId="BalloonText">
    <w:name w:val="Balloon Text"/>
    <w:basedOn w:val="Normal"/>
    <w:link w:val="BalloonTextChar"/>
    <w:rsid w:val="00651525"/>
    <w:rPr>
      <w:rFonts w:ascii="Tahoma" w:hAnsi="Tahoma" w:cs="Tahoma"/>
      <w:sz w:val="16"/>
      <w:szCs w:val="16"/>
    </w:rPr>
  </w:style>
  <w:style w:type="character" w:customStyle="1" w:styleId="BalloonTextChar">
    <w:name w:val="Balloon Text Char"/>
    <w:basedOn w:val="DefaultParagraphFont"/>
    <w:link w:val="BalloonText"/>
    <w:rsid w:val="006515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5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5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525"/>
    <w:rPr>
      <w:b/>
      <w:color w:val="660033"/>
      <w:spacing w:val="0"/>
    </w:rPr>
  </w:style>
  <w:style w:type="paragraph" w:customStyle="1" w:styleId="Nameditemlist">
    <w:name w:val="Named item list"/>
    <w:basedOn w:val="BodyText"/>
    <w:qFormat/>
    <w:rsid w:val="00651525"/>
    <w:pPr>
      <w:tabs>
        <w:tab w:val="left" w:pos="2835"/>
      </w:tabs>
      <w:ind w:left="2835" w:hanging="2835"/>
    </w:pPr>
  </w:style>
  <w:style w:type="paragraph" w:customStyle="1" w:styleId="BodyTextnopadding">
    <w:name w:val="Body Text no padding"/>
    <w:basedOn w:val="BodyText"/>
    <w:qFormat/>
    <w:rsid w:val="00651525"/>
    <w:pPr>
      <w:spacing w:before="0" w:after="0"/>
    </w:pPr>
  </w:style>
  <w:style w:type="paragraph" w:customStyle="1" w:styleId="BodyTextBold">
    <w:name w:val="Body Text Bold"/>
    <w:basedOn w:val="BodyText"/>
    <w:qFormat/>
    <w:rsid w:val="00651525"/>
    <w:rPr>
      <w:b/>
    </w:rPr>
  </w:style>
  <w:style w:type="character" w:styleId="Hyperlink">
    <w:name w:val="Hyperlink"/>
    <w:basedOn w:val="DefaultParagraphFont"/>
    <w:uiPriority w:val="99"/>
    <w:unhideWhenUsed/>
    <w:rsid w:val="004C70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7088</Characters>
  <Application>Microsoft Office Word</Application>
  <DocSecurity>0</DocSecurity>
  <Lines>322</Lines>
  <Paragraphs>190</Paragraphs>
  <ScaleCrop>false</ScaleCrop>
  <Company>Author-it Software Corporation Ltd.</Company>
  <LinksUpToDate>false</LinksUpToDate>
  <CharactersWithSpaces>7996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TLIX0037 Apply border clearance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2025-03-02T01:29:00Z</dcterms:created>
  <dcterms:modified xsi:type="dcterms:W3CDTF">2025-03-02T01:29:00Z</dcterms:modified>
</cp:coreProperties>
</file>