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55A6" w:rsidP="00BA55A6">
      <w:pPr>
        <w:pStyle w:val="Title"/>
      </w:pPr>
      <w:r>
        <w:fldChar w:fldCharType="begin"/>
      </w:r>
      <w:r>
        <w:instrText xml:space="preserve"> TITLE   \* MERGEFORMAT </w:instrText>
      </w:r>
      <w:r>
        <w:fldChar w:fldCharType="separate"/>
      </w:r>
      <w:r>
        <w:t>TLIX0036 Determine tariff classification of goods</w:t>
      </w:r>
      <w:r>
        <w:fldChar w:fldCharType="end"/>
      </w:r>
    </w:p>
    <w:p w:rsidR="00BA55A6" w:rsidP="00BA55A6">
      <w:pPr>
        <w:pStyle w:val="Version"/>
        <w:sectPr w:rsidSect="00E815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15F0" w:rsidP="00E815F0">
      <w:pPr>
        <w:pStyle w:val="SuperHeading"/>
      </w:pPr>
      <w:r w:rsidRPr="00E815F0">
        <w:t>TLIX0036 Determine tariff classification of goods</w:t>
      </w:r>
    </w:p>
    <w:p w:rsidR="00000000" w:rsidRPr="00E815F0" w:rsidP="00E815F0">
      <w:pPr>
        <w:pStyle w:val="Heading1"/>
      </w:pPr>
      <w:bookmarkStart w:id="1" w:name="O_1232582"/>
      <w:bookmarkEnd w:id="1"/>
      <w:r w:rsidRPr="00E815F0">
        <w:t>Modification History</w:t>
      </w:r>
    </w:p>
    <w:tbl>
      <w:tblPr>
        <w:tblW w:w="9497" w:type="dxa"/>
        <w:tblLayout w:type="fixed"/>
        <w:tblCellMar>
          <w:left w:w="62" w:type="dxa"/>
          <w:right w:w="62" w:type="dxa"/>
        </w:tblCellMar>
        <w:tblLook w:val="0000"/>
      </w:tblPr>
      <w:tblGrid>
        <w:gridCol w:w="9497"/>
      </w:tblGrid>
      <w:tr w:rsidTr="00E815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15F0" w:rsidP="00E815F0">
            <w:pPr>
              <w:pStyle w:val="BodyText"/>
            </w:pPr>
            <w:r w:rsidRPr="00E815F0">
              <w:rPr>
                <w:rStyle w:val="SpecialBold"/>
              </w:rPr>
              <w:t xml:space="preserve">Release 1. </w:t>
            </w:r>
            <w:r w:rsidRPr="00E815F0">
              <w:t>This is the first release of this unit of competency in the TLI Transport and Logistics Training Package.</w:t>
            </w:r>
          </w:p>
        </w:tc>
      </w:tr>
    </w:tbl>
    <w:p w:rsidR="00BA55A6" w:rsidP="00E815F0">
      <w:pPr>
        <w:pStyle w:val="NoPaddingFontSize1"/>
      </w:pPr>
    </w:p>
    <w:p w:rsidR="00BA55A6" w:rsidP="00E815F0">
      <w:pPr>
        <w:pStyle w:val="NoPaddingFontSize1"/>
      </w:pPr>
    </w:p>
    <w:p w:rsidR="00000000" w:rsidRPr="00E815F0" w:rsidP="00E815F0">
      <w:pPr>
        <w:pStyle w:val="Heading1"/>
      </w:pPr>
      <w:bookmarkStart w:id="2" w:name="O_1232583"/>
      <w:bookmarkEnd w:id="2"/>
      <w:r w:rsidRPr="00E815F0">
        <w:t>Application</w:t>
      </w:r>
    </w:p>
    <w:tbl>
      <w:tblPr>
        <w:tblW w:w="9497" w:type="dxa"/>
        <w:tblLayout w:type="fixed"/>
        <w:tblCellMar>
          <w:left w:w="62" w:type="dxa"/>
          <w:right w:w="62" w:type="dxa"/>
        </w:tblCellMar>
        <w:tblLook w:val="0000"/>
      </w:tblPr>
      <w:tblGrid>
        <w:gridCol w:w="9497"/>
      </w:tblGrid>
      <w:tr w:rsidTr="00E815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15F0" w:rsidP="00E815F0">
            <w:pPr>
              <w:pStyle w:val="BodyText"/>
            </w:pPr>
            <w:r w:rsidRPr="00E815F0">
              <w:t>This unit involves the skills and knowledge required to determine the custo</w:t>
            </w:r>
            <w:r w:rsidRPr="00E815F0">
              <w:t>ms tariff classification of goods.</w:t>
            </w:r>
          </w:p>
          <w:p w:rsidR="00000000" w:rsidRPr="00E815F0" w:rsidP="00E815F0">
            <w:pPr>
              <w:pStyle w:val="BodyText"/>
            </w:pPr>
            <w:r w:rsidRPr="00E815F0">
              <w:t xml:space="preserve">This unit includes establishing the basis of the tariff classification, selecting tariff headings that could apply to goods in accordance with General Rules of Interpretation (IRs) and are applied to justify selection of </w:t>
            </w:r>
            <w:r w:rsidRPr="00E815F0">
              <w:t>appropriate tariff heading. It also includes selecting tariff sub-headings to determine tariff classification and preparing application for Tariff Advice.</w:t>
            </w:r>
          </w:p>
          <w:p w:rsidR="00000000" w:rsidRPr="00E815F0" w:rsidP="00E815F0">
            <w:pPr>
              <w:pStyle w:val="BodyText"/>
            </w:pPr>
            <w:r w:rsidRPr="00E815F0">
              <w:t xml:space="preserve">This unit applies to individuals working as a customs broker. Work must be carried out in compliance </w:t>
            </w:r>
            <w:r w:rsidRPr="00E815F0">
              <w:t>with the Customs Tariff Act and related legislation and workplace requirements concerning customs commodity classification functions.</w:t>
            </w:r>
          </w:p>
          <w:p w:rsidR="00000000" w:rsidRPr="00E815F0" w:rsidP="00E815F0">
            <w:pPr>
              <w:pStyle w:val="BodyText"/>
            </w:pPr>
            <w:r w:rsidRPr="00E815F0">
              <w:t>Work is undertaken in a range of environments, including small to large worksites, in the customs broking and internationa</w:t>
            </w:r>
            <w:r w:rsidRPr="00E815F0">
              <w:t>l supply chain industries.</w:t>
            </w:r>
          </w:p>
          <w:p w:rsidR="00000000" w:rsidRPr="00E815F0" w:rsidP="00E815F0">
            <w:pPr>
              <w:pStyle w:val="BodyText"/>
            </w:pPr>
            <w:r w:rsidRPr="00E815F0">
              <w:t>No licensing, legislative or certification requirements apply to this unit at the time of publication.</w:t>
            </w:r>
          </w:p>
        </w:tc>
      </w:tr>
    </w:tbl>
    <w:p w:rsidR="00BA55A6" w:rsidP="00E815F0">
      <w:pPr>
        <w:pStyle w:val="NoPaddingFontSize1"/>
      </w:pPr>
    </w:p>
    <w:p w:rsidR="00BA55A6" w:rsidP="00E815F0">
      <w:pPr>
        <w:pStyle w:val="NoPaddingFontSize1"/>
      </w:pPr>
    </w:p>
    <w:p w:rsidR="00000000" w:rsidRPr="00E815F0" w:rsidP="00E815F0">
      <w:pPr>
        <w:pStyle w:val="Heading1"/>
      </w:pPr>
      <w:bookmarkStart w:id="3" w:name="O_1232584"/>
      <w:bookmarkEnd w:id="3"/>
      <w:r w:rsidRPr="00E815F0">
        <w:t>Pre-requisite Unit</w:t>
      </w:r>
    </w:p>
    <w:tbl>
      <w:tblPr>
        <w:tblW w:w="9497" w:type="dxa"/>
        <w:tblLayout w:type="fixed"/>
        <w:tblCellMar>
          <w:left w:w="62" w:type="dxa"/>
          <w:right w:w="62" w:type="dxa"/>
        </w:tblCellMar>
        <w:tblLook w:val="0000"/>
      </w:tblPr>
      <w:tblGrid>
        <w:gridCol w:w="9497"/>
      </w:tblGrid>
      <w:tr w:rsidTr="00E815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15F0" w:rsidP="00E815F0">
            <w:pPr>
              <w:pStyle w:val="BodyText"/>
            </w:pPr>
            <w:r w:rsidRPr="00E815F0">
              <w:t>Not applicable.</w:t>
            </w:r>
          </w:p>
        </w:tc>
      </w:tr>
    </w:tbl>
    <w:p w:rsidR="00BA55A6" w:rsidP="00E815F0">
      <w:pPr>
        <w:pStyle w:val="NoPaddingFontSize1"/>
      </w:pPr>
    </w:p>
    <w:p w:rsidR="00BA55A6" w:rsidP="00E815F0">
      <w:pPr>
        <w:pStyle w:val="NoPaddingFontSize1"/>
      </w:pPr>
    </w:p>
    <w:p w:rsidR="00000000" w:rsidRPr="00E815F0" w:rsidP="00E815F0">
      <w:pPr>
        <w:pStyle w:val="Heading1"/>
      </w:pPr>
      <w:bookmarkStart w:id="4" w:name="O_1232585"/>
      <w:bookmarkEnd w:id="4"/>
      <w:r w:rsidRPr="00E815F0">
        <w:t>Competency Field</w:t>
      </w:r>
    </w:p>
    <w:tbl>
      <w:tblPr>
        <w:tblW w:w="9497" w:type="dxa"/>
        <w:tblLayout w:type="fixed"/>
        <w:tblCellMar>
          <w:left w:w="62" w:type="dxa"/>
          <w:right w:w="62" w:type="dxa"/>
        </w:tblCellMar>
        <w:tblLook w:val="0000"/>
      </w:tblPr>
      <w:tblGrid>
        <w:gridCol w:w="9497"/>
      </w:tblGrid>
      <w:tr w:rsidTr="00E815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15F0" w:rsidP="00E815F0">
            <w:pPr>
              <w:pStyle w:val="BodyText"/>
            </w:pPr>
            <w:r w:rsidRPr="00E815F0">
              <w:t>X – Logistics</w:t>
            </w:r>
          </w:p>
        </w:tc>
      </w:tr>
    </w:tbl>
    <w:p w:rsidR="00BA55A6" w:rsidP="00E815F0">
      <w:pPr>
        <w:pStyle w:val="NoPaddingFontSize1"/>
      </w:pPr>
    </w:p>
    <w:p w:rsidR="00BA55A6" w:rsidP="00E815F0">
      <w:pPr>
        <w:pStyle w:val="NoPaddingFontSize1"/>
      </w:pPr>
    </w:p>
    <w:p w:rsidR="00000000" w:rsidRPr="00E815F0" w:rsidP="00E815F0">
      <w:pPr>
        <w:pStyle w:val="Heading1"/>
      </w:pPr>
      <w:bookmarkStart w:id="5" w:name="O_1232586"/>
      <w:bookmarkEnd w:id="5"/>
      <w:r w:rsidRPr="00E815F0">
        <w:t>Unit Sector</w:t>
      </w:r>
    </w:p>
    <w:tbl>
      <w:tblPr>
        <w:tblW w:w="9497" w:type="dxa"/>
        <w:tblLayout w:type="fixed"/>
        <w:tblCellMar>
          <w:left w:w="62" w:type="dxa"/>
          <w:right w:w="62" w:type="dxa"/>
        </w:tblCellMar>
        <w:tblLook w:val="0000"/>
      </w:tblPr>
      <w:tblGrid>
        <w:gridCol w:w="9497"/>
      </w:tblGrid>
      <w:tr w:rsidTr="00E815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15F0" w:rsidP="00E815F0">
            <w:pPr>
              <w:pStyle w:val="BodyText"/>
            </w:pPr>
            <w:r w:rsidRPr="00E815F0">
              <w:t>Customs Broking.</w:t>
            </w:r>
          </w:p>
        </w:tc>
      </w:tr>
    </w:tbl>
    <w:p w:rsidR="00BA55A6" w:rsidP="00E815F0">
      <w:pPr>
        <w:pStyle w:val="NoPaddingFontSize1"/>
      </w:pPr>
    </w:p>
    <w:p w:rsidR="00BA55A6" w:rsidP="00E815F0">
      <w:pPr>
        <w:pStyle w:val="NoPaddingFontSize1"/>
      </w:pPr>
    </w:p>
    <w:p w:rsidR="00000000" w:rsidRPr="00E815F0" w:rsidP="00E815F0">
      <w:pPr>
        <w:pStyle w:val="Heading1"/>
      </w:pPr>
      <w:bookmarkStart w:id="6" w:name="O_1232587"/>
      <w:bookmarkEnd w:id="6"/>
      <w:r w:rsidRPr="00E815F0">
        <w:t>Elements and Performance Criteria</w:t>
      </w:r>
    </w:p>
    <w:tbl>
      <w:tblPr>
        <w:tblW w:w="9498" w:type="dxa"/>
        <w:tblLayout w:type="fixed"/>
        <w:tblCellMar>
          <w:left w:w="62" w:type="dxa"/>
          <w:right w:w="62" w:type="dxa"/>
        </w:tblCellMar>
        <w:tblLook w:val="0000"/>
      </w:tblPr>
      <w:tblGrid>
        <w:gridCol w:w="406"/>
        <w:gridCol w:w="2171"/>
        <w:gridCol w:w="689"/>
        <w:gridCol w:w="1316"/>
        <w:gridCol w:w="3600"/>
        <w:gridCol w:w="1316"/>
      </w:tblGrid>
      <w:tr w:rsidTr="00E815F0">
        <w:tblPrEx>
          <w:tblW w:w="9498" w:type="dxa"/>
          <w:tblLayout w:type="fixed"/>
          <w:tblCellMar>
            <w:left w:w="62" w:type="dxa"/>
            <w:right w:w="62" w:type="dxa"/>
          </w:tblCellMar>
          <w:tblLook w:val="0000"/>
        </w:tblPrEx>
        <w:tc>
          <w:tcPr>
            <w:tcW w:w="3266" w:type="dxa"/>
            <w:gridSpan w:val="3"/>
            <w:tcBorders>
              <w:top w:val="nil"/>
              <w:left w:val="nil"/>
              <w:bottom w:val="nil"/>
              <w:right w:val="nil"/>
            </w:tcBorders>
            <w:tcMar>
              <w:top w:w="0" w:type="dxa"/>
              <w:left w:w="62" w:type="dxa"/>
              <w:bottom w:w="0" w:type="dxa"/>
              <w:right w:w="62" w:type="dxa"/>
            </w:tcMar>
          </w:tcPr>
          <w:p w:rsidR="00000000" w:rsidRPr="00E815F0" w:rsidP="00E815F0">
            <w:pPr>
              <w:pStyle w:val="BodyText"/>
            </w:pPr>
            <w:r w:rsidRPr="00E815F0">
              <w:rPr>
                <w:rStyle w:val="SpecialBold"/>
              </w:rPr>
              <w:t>ELEMENTS</w:t>
            </w:r>
          </w:p>
        </w:tc>
        <w:tc>
          <w:tcPr>
            <w:tcW w:w="6232" w:type="dxa"/>
            <w:gridSpan w:val="3"/>
            <w:tcBorders>
              <w:top w:val="nil"/>
              <w:left w:val="nil"/>
              <w:bottom w:val="nil"/>
              <w:right w:val="nil"/>
            </w:tcBorders>
            <w:tcMar>
              <w:top w:w="0" w:type="dxa"/>
              <w:left w:w="62" w:type="dxa"/>
              <w:bottom w:w="0" w:type="dxa"/>
              <w:right w:w="62" w:type="dxa"/>
            </w:tcMar>
          </w:tcPr>
          <w:p w:rsidR="00000000" w:rsidP="00E815F0">
            <w:pPr>
              <w:pStyle w:val="BodyText"/>
              <w:rPr>
                <w:lang w:val="en-NZ"/>
              </w:rPr>
            </w:pPr>
            <w:r w:rsidRPr="00E815F0">
              <w:rPr>
                <w:rStyle w:val="SpecialBold"/>
              </w:rPr>
              <w:t>PERFORMANCE CRITERIA</w:t>
            </w:r>
          </w:p>
        </w:tc>
      </w:tr>
      <w:tr w:rsidTr="00E815F0">
        <w:tblPrEx>
          <w:tblW w:w="9498" w:type="dxa"/>
          <w:tblLayout w:type="fixed"/>
          <w:tblCellMar>
            <w:left w:w="62" w:type="dxa"/>
            <w:right w:w="62" w:type="dxa"/>
          </w:tblCellMar>
          <w:tblLook w:val="0000"/>
        </w:tblPrEx>
        <w:tc>
          <w:tcPr>
            <w:tcW w:w="3266" w:type="dxa"/>
            <w:gridSpan w:val="3"/>
            <w:tcBorders>
              <w:top w:val="nil"/>
              <w:left w:val="nil"/>
              <w:bottom w:val="nil"/>
              <w:right w:val="nil"/>
            </w:tcBorders>
            <w:tcMar>
              <w:top w:w="0" w:type="dxa"/>
              <w:left w:w="62" w:type="dxa"/>
              <w:bottom w:w="0" w:type="dxa"/>
              <w:right w:w="62" w:type="dxa"/>
            </w:tcMar>
          </w:tcPr>
          <w:p w:rsidR="00000000" w:rsidP="00E815F0">
            <w:pPr>
              <w:pStyle w:val="BodyText"/>
              <w:rPr>
                <w:lang w:val="en-NZ"/>
              </w:rPr>
            </w:pPr>
            <w:r w:rsidRPr="00E815F0">
              <w:t>Elements describe the essential outcomes.</w:t>
            </w:r>
          </w:p>
        </w:tc>
        <w:tc>
          <w:tcPr>
            <w:tcW w:w="6232" w:type="dxa"/>
            <w:gridSpan w:val="3"/>
            <w:tcBorders>
              <w:top w:val="nil"/>
              <w:left w:val="nil"/>
              <w:bottom w:val="nil"/>
              <w:right w:val="nil"/>
            </w:tcBorders>
            <w:tcMar>
              <w:top w:w="0" w:type="dxa"/>
              <w:left w:w="62" w:type="dxa"/>
              <w:bottom w:w="0" w:type="dxa"/>
              <w:right w:w="62" w:type="dxa"/>
            </w:tcMar>
          </w:tcPr>
          <w:p w:rsidR="00000000" w:rsidP="00E815F0">
            <w:pPr>
              <w:pStyle w:val="BodyText"/>
              <w:rPr>
                <w:lang w:val="en-NZ"/>
              </w:rPr>
            </w:pPr>
            <w:r w:rsidRPr="00E815F0">
              <w:t xml:space="preserve">Performance criteria describe the performance needed to demonstrate </w:t>
            </w:r>
            <w:r w:rsidRPr="00E815F0">
              <w:t>achievement of the element.</w:t>
            </w:r>
          </w:p>
        </w:tc>
      </w:tr>
      <w:tr w:rsidTr="00E815F0">
        <w:tblPrEx>
          <w:tblW w:w="9498" w:type="dxa"/>
          <w:tblLayout w:type="fixed"/>
          <w:tblCellMar>
            <w:left w:w="62" w:type="dxa"/>
            <w:right w:w="62" w:type="dxa"/>
          </w:tblCellMar>
          <w:tblLook w:val="0000"/>
        </w:tblPrEx>
        <w:trPr>
          <w:gridAfter w:val="1"/>
          <w:wAfter w:w="1316" w:type="dxa"/>
        </w:trPr>
        <w:tc>
          <w:tcPr>
            <w:tcW w:w="406" w:type="dxa"/>
            <w:tcBorders>
              <w:top w:val="nil"/>
              <w:left w:val="nil"/>
              <w:bottom w:val="nil"/>
              <w:right w:val="nil"/>
            </w:tcBorders>
            <w:tcMar>
              <w:top w:w="0" w:type="dxa"/>
              <w:left w:w="62" w:type="dxa"/>
              <w:bottom w:w="0" w:type="dxa"/>
              <w:right w:w="62" w:type="dxa"/>
            </w:tcMar>
          </w:tcPr>
          <w:p w:rsidR="00000000" w:rsidRPr="00E815F0" w:rsidP="00E815F0">
            <w:pPr>
              <w:pStyle w:val="BodyText"/>
            </w:pPr>
            <w:r w:rsidRPr="00E815F0">
              <w:rPr>
                <w:rStyle w:val="SpecialBold"/>
              </w:rPr>
              <w:t xml:space="preserve">1 </w:t>
            </w:r>
          </w:p>
        </w:tc>
        <w:tc>
          <w:tcPr>
            <w:tcW w:w="2171" w:type="dxa"/>
            <w:tcBorders>
              <w:top w:val="nil"/>
              <w:left w:val="nil"/>
              <w:bottom w:val="nil"/>
              <w:right w:val="nil"/>
            </w:tcBorders>
            <w:tcMar>
              <w:top w:w="0" w:type="dxa"/>
              <w:left w:w="62" w:type="dxa"/>
              <w:bottom w:w="0" w:type="dxa"/>
              <w:right w:w="62" w:type="dxa"/>
            </w:tcMar>
          </w:tcPr>
          <w:p w:rsidR="00000000" w:rsidRPr="00E815F0" w:rsidP="00E815F0">
            <w:pPr>
              <w:pStyle w:val="BodyText"/>
            </w:pPr>
            <w:r w:rsidRPr="00E815F0">
              <w:rPr>
                <w:rStyle w:val="SpecialBold"/>
              </w:rPr>
              <w:t>Establish the basis of the tariff classification</w:t>
            </w:r>
          </w:p>
        </w:tc>
        <w:tc>
          <w:tcPr>
            <w:tcW w:w="2005" w:type="dxa"/>
            <w:gridSpan w:val="2"/>
            <w:tcBorders>
              <w:top w:val="nil"/>
              <w:left w:val="nil"/>
              <w:bottom w:val="nil"/>
              <w:right w:val="nil"/>
            </w:tcBorders>
            <w:tcMar>
              <w:top w:w="0" w:type="dxa"/>
              <w:left w:w="62" w:type="dxa"/>
              <w:bottom w:w="0" w:type="dxa"/>
              <w:right w:w="62" w:type="dxa"/>
            </w:tcMar>
          </w:tcPr>
          <w:p w:rsidR="00000000" w:rsidP="00E815F0">
            <w:pPr>
              <w:pStyle w:val="BodyText"/>
              <w:rPr>
                <w:lang w:val="en-NZ"/>
              </w:rPr>
            </w:pPr>
            <w:r w:rsidRPr="00E815F0">
              <w:rPr>
                <w:rStyle w:val="SpecialBold"/>
              </w:rPr>
              <w:t>1.1</w:t>
            </w:r>
          </w:p>
        </w:tc>
        <w:tc>
          <w:tcPr>
            <w:tcW w:w="3600" w:type="dxa"/>
            <w:tcBorders>
              <w:top w:val="nil"/>
              <w:left w:val="nil"/>
              <w:bottom w:val="nil"/>
              <w:right w:val="nil"/>
            </w:tcBorders>
            <w:tcMar>
              <w:top w:w="0" w:type="dxa"/>
              <w:left w:w="62" w:type="dxa"/>
              <w:bottom w:w="0" w:type="dxa"/>
              <w:right w:w="62" w:type="dxa"/>
            </w:tcMar>
          </w:tcPr>
          <w:p w:rsidR="00000000" w:rsidP="00E815F0">
            <w:pPr>
              <w:pStyle w:val="BodyText"/>
              <w:rPr>
                <w:lang w:val="en-NZ"/>
              </w:rPr>
            </w:pPr>
            <w:r w:rsidRPr="00E815F0">
              <w:t>Role and purpose of the World Customs Organization (WCO) Harmonized Commodity Description and Coding System is explained</w:t>
            </w:r>
          </w:p>
        </w:tc>
      </w:tr>
      <w:tr w:rsidTr="00E815F0">
        <w:tblPrEx>
          <w:tblW w:w="9498" w:type="dxa"/>
          <w:tblLayout w:type="fixed"/>
          <w:tblCellMar>
            <w:left w:w="62" w:type="dxa"/>
            <w:right w:w="62" w:type="dxa"/>
          </w:tblCellMar>
          <w:tblLook w:val="0000"/>
        </w:tblPrEx>
        <w:trPr>
          <w:gridAfter w:val="1"/>
          <w:wAfter w:w="1316" w:type="dxa"/>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71" w:type="dxa"/>
            <w:tcBorders>
              <w:top w:val="nil"/>
              <w:left w:val="nil"/>
              <w:bottom w:val="nil"/>
              <w:right w:val="nil"/>
            </w:tcBorders>
            <w:tcMar>
              <w:top w:w="0" w:type="dxa"/>
              <w:left w:w="62" w:type="dxa"/>
              <w:bottom w:w="0" w:type="dxa"/>
              <w:right w:w="62" w:type="dxa"/>
            </w:tcMar>
          </w:tcPr>
          <w:p w:rsidR="00000000" w:rsidRPr="00E815F0">
            <w:pPr>
              <w:pStyle w:val="BodyText"/>
              <w:keepLines w:val="0"/>
              <w:spacing w:before="0" w:after="0"/>
            </w:pPr>
          </w:p>
        </w:tc>
        <w:tc>
          <w:tcPr>
            <w:tcW w:w="2005" w:type="dxa"/>
            <w:gridSpan w:val="2"/>
            <w:tcBorders>
              <w:top w:val="nil"/>
              <w:left w:val="nil"/>
              <w:bottom w:val="nil"/>
              <w:right w:val="nil"/>
            </w:tcBorders>
            <w:tcMar>
              <w:top w:w="0" w:type="dxa"/>
              <w:left w:w="62" w:type="dxa"/>
              <w:bottom w:w="0" w:type="dxa"/>
              <w:right w:w="62" w:type="dxa"/>
            </w:tcMar>
          </w:tcPr>
          <w:p w:rsidR="00000000" w:rsidP="00E815F0">
            <w:pPr>
              <w:pStyle w:val="BodyText"/>
              <w:rPr>
                <w:lang w:val="en-NZ"/>
              </w:rPr>
            </w:pPr>
            <w:r w:rsidRPr="00E815F0">
              <w:rPr>
                <w:rStyle w:val="SpecialBold"/>
              </w:rPr>
              <w:t>1.2</w:t>
            </w:r>
          </w:p>
        </w:tc>
        <w:tc>
          <w:tcPr>
            <w:tcW w:w="3600" w:type="dxa"/>
            <w:tcBorders>
              <w:top w:val="nil"/>
              <w:left w:val="nil"/>
              <w:bottom w:val="nil"/>
              <w:right w:val="nil"/>
            </w:tcBorders>
            <w:tcMar>
              <w:top w:w="0" w:type="dxa"/>
              <w:left w:w="62" w:type="dxa"/>
              <w:bottom w:w="0" w:type="dxa"/>
              <w:right w:w="62" w:type="dxa"/>
            </w:tcMar>
          </w:tcPr>
          <w:p w:rsidR="00000000" w:rsidP="00E815F0">
            <w:pPr>
              <w:pStyle w:val="BodyText"/>
              <w:rPr>
                <w:lang w:val="en-NZ"/>
              </w:rPr>
            </w:pPr>
            <w:r w:rsidRPr="00E815F0">
              <w:t xml:space="preserve">Structure and purpose of the Customs Tariff Act and its relationship to the Customs Act is reviewed and explained </w:t>
            </w:r>
          </w:p>
        </w:tc>
      </w:tr>
      <w:tr w:rsidTr="00E815F0">
        <w:tblPrEx>
          <w:tblW w:w="9498" w:type="dxa"/>
          <w:tblLayout w:type="fixed"/>
          <w:tblCellMar>
            <w:left w:w="62" w:type="dxa"/>
            <w:right w:w="62" w:type="dxa"/>
          </w:tblCellMar>
          <w:tblLook w:val="0000"/>
        </w:tblPrEx>
        <w:trPr>
          <w:gridAfter w:val="1"/>
          <w:wAfter w:w="1316" w:type="dxa"/>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71" w:type="dxa"/>
            <w:tcBorders>
              <w:top w:val="nil"/>
              <w:left w:val="nil"/>
              <w:bottom w:val="nil"/>
              <w:right w:val="nil"/>
            </w:tcBorders>
            <w:tcMar>
              <w:top w:w="0" w:type="dxa"/>
              <w:left w:w="62" w:type="dxa"/>
              <w:bottom w:w="0" w:type="dxa"/>
              <w:right w:w="62" w:type="dxa"/>
            </w:tcMar>
          </w:tcPr>
          <w:p w:rsidR="00000000" w:rsidRPr="00E815F0">
            <w:pPr>
              <w:pStyle w:val="BodyText"/>
              <w:keepLines w:val="0"/>
              <w:spacing w:before="0" w:after="0"/>
            </w:pPr>
          </w:p>
        </w:tc>
        <w:tc>
          <w:tcPr>
            <w:tcW w:w="2005" w:type="dxa"/>
            <w:gridSpan w:val="2"/>
            <w:tcBorders>
              <w:top w:val="nil"/>
              <w:left w:val="nil"/>
              <w:bottom w:val="nil"/>
              <w:right w:val="nil"/>
            </w:tcBorders>
            <w:tcMar>
              <w:top w:w="0" w:type="dxa"/>
              <w:left w:w="62" w:type="dxa"/>
              <w:bottom w:w="0" w:type="dxa"/>
              <w:right w:w="62" w:type="dxa"/>
            </w:tcMar>
          </w:tcPr>
          <w:p w:rsidR="00000000" w:rsidP="00E815F0">
            <w:pPr>
              <w:pStyle w:val="BodyText"/>
              <w:rPr>
                <w:lang w:val="en-NZ"/>
              </w:rPr>
            </w:pPr>
            <w:r w:rsidRPr="00E815F0">
              <w:rPr>
                <w:rStyle w:val="SpecialBold"/>
              </w:rPr>
              <w:t>1.3</w:t>
            </w:r>
          </w:p>
        </w:tc>
        <w:tc>
          <w:tcPr>
            <w:tcW w:w="3600" w:type="dxa"/>
            <w:tcBorders>
              <w:top w:val="nil"/>
              <w:left w:val="nil"/>
              <w:bottom w:val="nil"/>
              <w:right w:val="nil"/>
            </w:tcBorders>
            <w:tcMar>
              <w:top w:w="0" w:type="dxa"/>
              <w:left w:w="62" w:type="dxa"/>
              <w:bottom w:w="0" w:type="dxa"/>
              <w:right w:w="62" w:type="dxa"/>
            </w:tcMar>
          </w:tcPr>
          <w:p w:rsidR="00000000" w:rsidP="00E815F0">
            <w:pPr>
              <w:pStyle w:val="BodyText"/>
              <w:rPr>
                <w:lang w:val="en-NZ"/>
              </w:rPr>
            </w:pPr>
            <w:r w:rsidRPr="00E815F0">
              <w:t>Structure and content of Customs Tariff Act Schedules and their application are explained when used in the tariff classification of g</w:t>
            </w:r>
            <w:r w:rsidRPr="00E815F0">
              <w:t>oods</w:t>
            </w:r>
          </w:p>
        </w:tc>
      </w:tr>
      <w:tr w:rsidTr="00E815F0">
        <w:tblPrEx>
          <w:tblW w:w="9498" w:type="dxa"/>
          <w:tblLayout w:type="fixed"/>
          <w:tblCellMar>
            <w:left w:w="62" w:type="dxa"/>
            <w:right w:w="62" w:type="dxa"/>
          </w:tblCellMar>
          <w:tblLook w:val="0000"/>
        </w:tblPrEx>
        <w:trPr>
          <w:gridAfter w:val="1"/>
          <w:wAfter w:w="1316" w:type="dxa"/>
        </w:trPr>
        <w:tc>
          <w:tcPr>
            <w:tcW w:w="406" w:type="dxa"/>
            <w:tcBorders>
              <w:top w:val="nil"/>
              <w:left w:val="nil"/>
              <w:bottom w:val="nil"/>
              <w:right w:val="nil"/>
            </w:tcBorders>
            <w:tcMar>
              <w:top w:w="0" w:type="dxa"/>
              <w:left w:w="62" w:type="dxa"/>
              <w:bottom w:w="0" w:type="dxa"/>
              <w:right w:w="62" w:type="dxa"/>
            </w:tcMar>
          </w:tcPr>
          <w:p w:rsidR="00000000" w:rsidRPr="00E815F0" w:rsidP="00E815F0">
            <w:pPr>
              <w:pStyle w:val="BodyText"/>
            </w:pPr>
            <w:r w:rsidRPr="00E815F0">
              <w:rPr>
                <w:rStyle w:val="SpecialBold"/>
              </w:rPr>
              <w:t>2</w:t>
            </w:r>
          </w:p>
        </w:tc>
        <w:tc>
          <w:tcPr>
            <w:tcW w:w="2171" w:type="dxa"/>
            <w:tcBorders>
              <w:top w:val="nil"/>
              <w:left w:val="nil"/>
              <w:bottom w:val="nil"/>
              <w:right w:val="nil"/>
            </w:tcBorders>
            <w:tcMar>
              <w:top w:w="0" w:type="dxa"/>
              <w:left w:w="62" w:type="dxa"/>
              <w:bottom w:w="0" w:type="dxa"/>
              <w:right w:w="62" w:type="dxa"/>
            </w:tcMar>
          </w:tcPr>
          <w:p w:rsidR="00000000" w:rsidRPr="00E815F0" w:rsidP="00E815F0">
            <w:pPr>
              <w:pStyle w:val="BodyText"/>
            </w:pPr>
            <w:r w:rsidRPr="00E815F0">
              <w:rPr>
                <w:rStyle w:val="SpecialBold"/>
              </w:rPr>
              <w:t>Select tariff headings that could apply to goods</w:t>
            </w:r>
          </w:p>
        </w:tc>
        <w:tc>
          <w:tcPr>
            <w:tcW w:w="2005" w:type="dxa"/>
            <w:gridSpan w:val="2"/>
            <w:tcBorders>
              <w:top w:val="nil"/>
              <w:left w:val="nil"/>
              <w:bottom w:val="nil"/>
              <w:right w:val="nil"/>
            </w:tcBorders>
            <w:tcMar>
              <w:top w:w="0" w:type="dxa"/>
              <w:left w:w="62" w:type="dxa"/>
              <w:bottom w:w="0" w:type="dxa"/>
              <w:right w:w="62" w:type="dxa"/>
            </w:tcMar>
          </w:tcPr>
          <w:p w:rsidR="00000000" w:rsidP="00E815F0">
            <w:pPr>
              <w:pStyle w:val="BodyText"/>
              <w:rPr>
                <w:lang w:val="en-NZ"/>
              </w:rPr>
            </w:pPr>
            <w:r w:rsidRPr="00E815F0">
              <w:rPr>
                <w:rStyle w:val="SpecialBold"/>
              </w:rPr>
              <w:t>2.1</w:t>
            </w:r>
          </w:p>
        </w:tc>
        <w:tc>
          <w:tcPr>
            <w:tcW w:w="3600" w:type="dxa"/>
            <w:tcBorders>
              <w:top w:val="nil"/>
              <w:left w:val="nil"/>
              <w:bottom w:val="nil"/>
              <w:right w:val="nil"/>
            </w:tcBorders>
            <w:tcMar>
              <w:top w:w="0" w:type="dxa"/>
              <w:left w:w="62" w:type="dxa"/>
              <w:bottom w:w="0" w:type="dxa"/>
              <w:right w:w="62" w:type="dxa"/>
            </w:tcMar>
          </w:tcPr>
          <w:p w:rsidR="00000000" w:rsidP="00E815F0">
            <w:pPr>
              <w:pStyle w:val="BodyText"/>
              <w:rPr>
                <w:lang w:val="en-NZ"/>
              </w:rPr>
            </w:pPr>
            <w:r w:rsidRPr="00E815F0">
              <w:t>Illustrative descriptive material (IDM) and other descriptive information is obtained, as required</w:t>
            </w:r>
          </w:p>
        </w:tc>
      </w:tr>
      <w:tr w:rsidTr="00E815F0">
        <w:tblPrEx>
          <w:tblW w:w="9498" w:type="dxa"/>
          <w:tblLayout w:type="fixed"/>
          <w:tblCellMar>
            <w:left w:w="62" w:type="dxa"/>
            <w:right w:w="62" w:type="dxa"/>
          </w:tblCellMar>
          <w:tblLook w:val="0000"/>
        </w:tblPrEx>
        <w:trPr>
          <w:gridAfter w:val="1"/>
          <w:wAfter w:w="1316" w:type="dxa"/>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71" w:type="dxa"/>
            <w:tcBorders>
              <w:top w:val="nil"/>
              <w:left w:val="nil"/>
              <w:bottom w:val="nil"/>
              <w:right w:val="nil"/>
            </w:tcBorders>
            <w:tcMar>
              <w:top w:w="0" w:type="dxa"/>
              <w:left w:w="62" w:type="dxa"/>
              <w:bottom w:w="0" w:type="dxa"/>
              <w:right w:w="62" w:type="dxa"/>
            </w:tcMar>
          </w:tcPr>
          <w:p w:rsidR="00000000" w:rsidRPr="00E815F0">
            <w:pPr>
              <w:pStyle w:val="BodyText"/>
              <w:keepLines w:val="0"/>
              <w:spacing w:before="0" w:after="0"/>
            </w:pPr>
          </w:p>
        </w:tc>
        <w:tc>
          <w:tcPr>
            <w:tcW w:w="2005" w:type="dxa"/>
            <w:gridSpan w:val="2"/>
            <w:tcBorders>
              <w:top w:val="nil"/>
              <w:left w:val="nil"/>
              <w:bottom w:val="nil"/>
              <w:right w:val="nil"/>
            </w:tcBorders>
            <w:tcMar>
              <w:top w:w="0" w:type="dxa"/>
              <w:left w:w="62" w:type="dxa"/>
              <w:bottom w:w="0" w:type="dxa"/>
              <w:right w:w="62" w:type="dxa"/>
            </w:tcMar>
          </w:tcPr>
          <w:p w:rsidR="00000000" w:rsidP="00E815F0">
            <w:pPr>
              <w:pStyle w:val="BodyText"/>
              <w:rPr>
                <w:lang w:val="en-NZ"/>
              </w:rPr>
            </w:pPr>
            <w:r w:rsidRPr="00E815F0">
              <w:rPr>
                <w:rStyle w:val="SpecialBold"/>
              </w:rPr>
              <w:t>2.2</w:t>
            </w:r>
          </w:p>
        </w:tc>
        <w:tc>
          <w:tcPr>
            <w:tcW w:w="3600" w:type="dxa"/>
            <w:tcBorders>
              <w:top w:val="nil"/>
              <w:left w:val="nil"/>
              <w:bottom w:val="nil"/>
              <w:right w:val="nil"/>
            </w:tcBorders>
            <w:tcMar>
              <w:top w:w="0" w:type="dxa"/>
              <w:left w:w="62" w:type="dxa"/>
              <w:bottom w:w="0" w:type="dxa"/>
              <w:right w:w="62" w:type="dxa"/>
            </w:tcMar>
          </w:tcPr>
          <w:p w:rsidR="00000000" w:rsidP="00E815F0">
            <w:pPr>
              <w:pStyle w:val="BodyText"/>
              <w:rPr>
                <w:lang w:val="en-NZ"/>
              </w:rPr>
            </w:pPr>
            <w:r w:rsidRPr="00E815F0">
              <w:t>Goods are identified in accordance with classification principles</w:t>
            </w:r>
          </w:p>
        </w:tc>
      </w:tr>
      <w:tr w:rsidTr="00E815F0">
        <w:tblPrEx>
          <w:tblW w:w="9498" w:type="dxa"/>
          <w:tblLayout w:type="fixed"/>
          <w:tblCellMar>
            <w:left w:w="62" w:type="dxa"/>
            <w:right w:w="62" w:type="dxa"/>
          </w:tblCellMar>
          <w:tblLook w:val="0000"/>
        </w:tblPrEx>
        <w:trPr>
          <w:gridAfter w:val="1"/>
          <w:wAfter w:w="1316" w:type="dxa"/>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71" w:type="dxa"/>
            <w:tcBorders>
              <w:top w:val="nil"/>
              <w:left w:val="nil"/>
              <w:bottom w:val="nil"/>
              <w:right w:val="nil"/>
            </w:tcBorders>
            <w:tcMar>
              <w:top w:w="0" w:type="dxa"/>
              <w:left w:w="62" w:type="dxa"/>
              <w:bottom w:w="0" w:type="dxa"/>
              <w:right w:w="62" w:type="dxa"/>
            </w:tcMar>
          </w:tcPr>
          <w:p w:rsidR="00000000" w:rsidRPr="00E815F0">
            <w:pPr>
              <w:pStyle w:val="BodyText"/>
              <w:keepLines w:val="0"/>
              <w:spacing w:before="0" w:after="0"/>
            </w:pPr>
          </w:p>
        </w:tc>
        <w:tc>
          <w:tcPr>
            <w:tcW w:w="2005" w:type="dxa"/>
            <w:gridSpan w:val="2"/>
            <w:tcBorders>
              <w:top w:val="nil"/>
              <w:left w:val="nil"/>
              <w:bottom w:val="nil"/>
              <w:right w:val="nil"/>
            </w:tcBorders>
            <w:tcMar>
              <w:top w:w="0" w:type="dxa"/>
              <w:left w:w="62" w:type="dxa"/>
              <w:bottom w:w="0" w:type="dxa"/>
              <w:right w:w="62" w:type="dxa"/>
            </w:tcMar>
          </w:tcPr>
          <w:p w:rsidR="00000000" w:rsidP="00E815F0">
            <w:pPr>
              <w:pStyle w:val="BodyText"/>
              <w:rPr>
                <w:lang w:val="en-NZ"/>
              </w:rPr>
            </w:pPr>
            <w:r w:rsidRPr="00E815F0">
              <w:rPr>
                <w:rStyle w:val="SpecialBold"/>
              </w:rPr>
              <w:t>2.3</w:t>
            </w:r>
          </w:p>
        </w:tc>
        <w:tc>
          <w:tcPr>
            <w:tcW w:w="3600" w:type="dxa"/>
            <w:tcBorders>
              <w:top w:val="nil"/>
              <w:left w:val="nil"/>
              <w:bottom w:val="nil"/>
              <w:right w:val="nil"/>
            </w:tcBorders>
            <w:tcMar>
              <w:top w:w="0" w:type="dxa"/>
              <w:left w:w="62" w:type="dxa"/>
              <w:bottom w:w="0" w:type="dxa"/>
              <w:right w:w="62" w:type="dxa"/>
            </w:tcMar>
          </w:tcPr>
          <w:p w:rsidR="00000000" w:rsidP="00E815F0">
            <w:pPr>
              <w:pStyle w:val="BodyText"/>
              <w:rPr>
                <w:lang w:val="en-NZ"/>
              </w:rPr>
            </w:pPr>
            <w:r w:rsidRPr="00E815F0">
              <w:t>Relevant tariff classification precedents that may apply to goods are identified</w:t>
            </w:r>
          </w:p>
        </w:tc>
      </w:tr>
      <w:tr w:rsidTr="00E815F0">
        <w:tblPrEx>
          <w:tblW w:w="9498" w:type="dxa"/>
          <w:tblLayout w:type="fixed"/>
          <w:tblCellMar>
            <w:left w:w="62" w:type="dxa"/>
            <w:right w:w="62" w:type="dxa"/>
          </w:tblCellMar>
          <w:tblLook w:val="0000"/>
        </w:tblPrEx>
        <w:trPr>
          <w:gridAfter w:val="1"/>
          <w:wAfter w:w="1316" w:type="dxa"/>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71" w:type="dxa"/>
            <w:tcBorders>
              <w:top w:val="nil"/>
              <w:left w:val="nil"/>
              <w:bottom w:val="nil"/>
              <w:right w:val="nil"/>
            </w:tcBorders>
            <w:tcMar>
              <w:top w:w="0" w:type="dxa"/>
              <w:left w:w="62" w:type="dxa"/>
              <w:bottom w:w="0" w:type="dxa"/>
              <w:right w:w="62" w:type="dxa"/>
            </w:tcMar>
          </w:tcPr>
          <w:p w:rsidR="00000000" w:rsidRPr="00E815F0">
            <w:pPr>
              <w:pStyle w:val="BodyText"/>
              <w:keepLines w:val="0"/>
              <w:spacing w:before="0" w:after="0"/>
            </w:pPr>
          </w:p>
        </w:tc>
        <w:tc>
          <w:tcPr>
            <w:tcW w:w="2005" w:type="dxa"/>
            <w:gridSpan w:val="2"/>
            <w:tcBorders>
              <w:top w:val="nil"/>
              <w:left w:val="nil"/>
              <w:bottom w:val="nil"/>
              <w:right w:val="nil"/>
            </w:tcBorders>
            <w:tcMar>
              <w:top w:w="0" w:type="dxa"/>
              <w:left w:w="62" w:type="dxa"/>
              <w:bottom w:w="0" w:type="dxa"/>
              <w:right w:w="62" w:type="dxa"/>
            </w:tcMar>
          </w:tcPr>
          <w:p w:rsidR="00000000" w:rsidP="00E815F0">
            <w:pPr>
              <w:pStyle w:val="BodyText"/>
              <w:rPr>
                <w:lang w:val="en-NZ"/>
              </w:rPr>
            </w:pPr>
            <w:r w:rsidRPr="00E815F0">
              <w:rPr>
                <w:rStyle w:val="SpecialBold"/>
              </w:rPr>
              <w:t>2.4</w:t>
            </w:r>
          </w:p>
        </w:tc>
        <w:tc>
          <w:tcPr>
            <w:tcW w:w="3600" w:type="dxa"/>
            <w:tcBorders>
              <w:top w:val="nil"/>
              <w:left w:val="nil"/>
              <w:bottom w:val="nil"/>
              <w:right w:val="nil"/>
            </w:tcBorders>
            <w:tcMar>
              <w:top w:w="0" w:type="dxa"/>
              <w:left w:w="62" w:type="dxa"/>
              <w:bottom w:w="0" w:type="dxa"/>
              <w:right w:w="62" w:type="dxa"/>
            </w:tcMar>
          </w:tcPr>
          <w:p w:rsidR="00000000" w:rsidP="00E815F0">
            <w:pPr>
              <w:pStyle w:val="BodyText"/>
              <w:rPr>
                <w:lang w:val="en-NZ"/>
              </w:rPr>
            </w:pPr>
            <w:r w:rsidRPr="00E815F0">
              <w:t>Principles of statutory construction in the context of particular tariff headings and words are applied</w:t>
            </w:r>
          </w:p>
        </w:tc>
      </w:tr>
      <w:tr w:rsidTr="00E815F0">
        <w:tblPrEx>
          <w:tblW w:w="9498" w:type="dxa"/>
          <w:tblLayout w:type="fixed"/>
          <w:tblCellMar>
            <w:left w:w="62" w:type="dxa"/>
            <w:right w:w="62" w:type="dxa"/>
          </w:tblCellMar>
          <w:tblLook w:val="0000"/>
        </w:tblPrEx>
        <w:trPr>
          <w:gridAfter w:val="1"/>
          <w:wAfter w:w="1316" w:type="dxa"/>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71" w:type="dxa"/>
            <w:tcBorders>
              <w:top w:val="nil"/>
              <w:left w:val="nil"/>
              <w:bottom w:val="nil"/>
              <w:right w:val="nil"/>
            </w:tcBorders>
            <w:tcMar>
              <w:top w:w="0" w:type="dxa"/>
              <w:left w:w="62" w:type="dxa"/>
              <w:bottom w:w="0" w:type="dxa"/>
              <w:right w:w="62" w:type="dxa"/>
            </w:tcMar>
          </w:tcPr>
          <w:p w:rsidR="00000000" w:rsidRPr="00E815F0">
            <w:pPr>
              <w:pStyle w:val="BodyText"/>
              <w:keepLines w:val="0"/>
              <w:spacing w:before="0" w:after="0"/>
            </w:pPr>
          </w:p>
        </w:tc>
        <w:tc>
          <w:tcPr>
            <w:tcW w:w="2005" w:type="dxa"/>
            <w:gridSpan w:val="2"/>
            <w:tcBorders>
              <w:top w:val="nil"/>
              <w:left w:val="nil"/>
              <w:bottom w:val="nil"/>
              <w:right w:val="nil"/>
            </w:tcBorders>
            <w:tcMar>
              <w:top w:w="0" w:type="dxa"/>
              <w:left w:w="62" w:type="dxa"/>
              <w:bottom w:w="0" w:type="dxa"/>
              <w:right w:w="62" w:type="dxa"/>
            </w:tcMar>
          </w:tcPr>
          <w:p w:rsidR="00000000" w:rsidP="00E815F0">
            <w:pPr>
              <w:pStyle w:val="BodyText"/>
              <w:rPr>
                <w:lang w:val="en-NZ"/>
              </w:rPr>
            </w:pPr>
            <w:r w:rsidRPr="00E815F0">
              <w:rPr>
                <w:rStyle w:val="SpecialBold"/>
              </w:rPr>
              <w:t>2.5</w:t>
            </w:r>
          </w:p>
        </w:tc>
        <w:tc>
          <w:tcPr>
            <w:tcW w:w="3600" w:type="dxa"/>
            <w:tcBorders>
              <w:top w:val="nil"/>
              <w:left w:val="nil"/>
              <w:bottom w:val="nil"/>
              <w:right w:val="nil"/>
            </w:tcBorders>
            <w:tcMar>
              <w:top w:w="0" w:type="dxa"/>
              <w:left w:w="62" w:type="dxa"/>
              <w:bottom w:w="0" w:type="dxa"/>
              <w:right w:w="62" w:type="dxa"/>
            </w:tcMar>
          </w:tcPr>
          <w:p w:rsidR="00000000" w:rsidP="00E815F0">
            <w:pPr>
              <w:pStyle w:val="BodyText"/>
              <w:rPr>
                <w:lang w:val="en-NZ"/>
              </w:rPr>
            </w:pPr>
            <w:r w:rsidRPr="00E815F0">
              <w:t>Customs Tariff Act Schedule 3, and section and chapter (legal) notes are explained and reviewed</w:t>
            </w:r>
          </w:p>
        </w:tc>
      </w:tr>
      <w:tr w:rsidTr="00E815F0">
        <w:tblPrEx>
          <w:tblW w:w="9498" w:type="dxa"/>
          <w:tblLayout w:type="fixed"/>
          <w:tblCellMar>
            <w:left w:w="62" w:type="dxa"/>
            <w:right w:w="62" w:type="dxa"/>
          </w:tblCellMar>
          <w:tblLook w:val="0000"/>
        </w:tblPrEx>
        <w:trPr>
          <w:gridAfter w:val="1"/>
          <w:wAfter w:w="1316" w:type="dxa"/>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71" w:type="dxa"/>
            <w:tcBorders>
              <w:top w:val="nil"/>
              <w:left w:val="nil"/>
              <w:bottom w:val="nil"/>
              <w:right w:val="nil"/>
            </w:tcBorders>
            <w:tcMar>
              <w:top w:w="0" w:type="dxa"/>
              <w:left w:w="62" w:type="dxa"/>
              <w:bottom w:w="0" w:type="dxa"/>
              <w:right w:w="62" w:type="dxa"/>
            </w:tcMar>
          </w:tcPr>
          <w:p w:rsidR="00000000" w:rsidRPr="00E815F0">
            <w:pPr>
              <w:pStyle w:val="BodyText"/>
              <w:keepLines w:val="0"/>
              <w:spacing w:before="0" w:after="0"/>
            </w:pPr>
          </w:p>
        </w:tc>
        <w:tc>
          <w:tcPr>
            <w:tcW w:w="2005" w:type="dxa"/>
            <w:gridSpan w:val="2"/>
            <w:tcBorders>
              <w:top w:val="nil"/>
              <w:left w:val="nil"/>
              <w:bottom w:val="nil"/>
              <w:right w:val="nil"/>
            </w:tcBorders>
            <w:tcMar>
              <w:top w:w="0" w:type="dxa"/>
              <w:left w:w="62" w:type="dxa"/>
              <w:bottom w:w="0" w:type="dxa"/>
              <w:right w:w="62" w:type="dxa"/>
            </w:tcMar>
          </w:tcPr>
          <w:p w:rsidR="00000000" w:rsidP="00E815F0">
            <w:pPr>
              <w:pStyle w:val="BodyText"/>
              <w:rPr>
                <w:lang w:val="en-NZ"/>
              </w:rPr>
            </w:pPr>
            <w:r w:rsidRPr="00E815F0">
              <w:rPr>
                <w:rStyle w:val="SpecialBold"/>
              </w:rPr>
              <w:t>2.6</w:t>
            </w:r>
          </w:p>
        </w:tc>
        <w:tc>
          <w:tcPr>
            <w:tcW w:w="3600" w:type="dxa"/>
            <w:tcBorders>
              <w:top w:val="nil"/>
              <w:left w:val="nil"/>
              <w:bottom w:val="nil"/>
              <w:right w:val="nil"/>
            </w:tcBorders>
            <w:tcMar>
              <w:top w:w="0" w:type="dxa"/>
              <w:left w:w="62" w:type="dxa"/>
              <w:bottom w:w="0" w:type="dxa"/>
              <w:right w:w="62" w:type="dxa"/>
            </w:tcMar>
          </w:tcPr>
          <w:p w:rsidR="00000000" w:rsidP="00E815F0">
            <w:pPr>
              <w:pStyle w:val="BodyText"/>
              <w:rPr>
                <w:lang w:val="en-NZ"/>
              </w:rPr>
            </w:pPr>
            <w:r w:rsidRPr="00E815F0">
              <w:t>Headings are determined as appropriate</w:t>
            </w:r>
          </w:p>
        </w:tc>
      </w:tr>
      <w:tr w:rsidTr="00E815F0">
        <w:tblPrEx>
          <w:tblW w:w="9498" w:type="dxa"/>
          <w:tblLayout w:type="fixed"/>
          <w:tblCellMar>
            <w:left w:w="62" w:type="dxa"/>
            <w:right w:w="62" w:type="dxa"/>
          </w:tblCellMar>
          <w:tblLook w:val="0000"/>
        </w:tblPrEx>
        <w:trPr>
          <w:gridAfter w:val="1"/>
          <w:wAfter w:w="1316" w:type="dxa"/>
        </w:trPr>
        <w:tc>
          <w:tcPr>
            <w:tcW w:w="406" w:type="dxa"/>
            <w:tcBorders>
              <w:top w:val="nil"/>
              <w:left w:val="nil"/>
              <w:bottom w:val="nil"/>
              <w:right w:val="nil"/>
            </w:tcBorders>
            <w:tcMar>
              <w:top w:w="0" w:type="dxa"/>
              <w:left w:w="62" w:type="dxa"/>
              <w:bottom w:w="0" w:type="dxa"/>
              <w:right w:w="62" w:type="dxa"/>
            </w:tcMar>
          </w:tcPr>
          <w:p w:rsidR="00000000" w:rsidRPr="00E815F0" w:rsidP="00E815F0">
            <w:pPr>
              <w:pStyle w:val="BodyText"/>
            </w:pPr>
            <w:r w:rsidRPr="00E815F0">
              <w:rPr>
                <w:rStyle w:val="SpecialBold"/>
              </w:rPr>
              <w:t>3</w:t>
            </w:r>
          </w:p>
        </w:tc>
        <w:tc>
          <w:tcPr>
            <w:tcW w:w="2171" w:type="dxa"/>
            <w:tcBorders>
              <w:top w:val="nil"/>
              <w:left w:val="nil"/>
              <w:bottom w:val="nil"/>
              <w:right w:val="nil"/>
            </w:tcBorders>
            <w:tcMar>
              <w:top w:w="0" w:type="dxa"/>
              <w:left w:w="62" w:type="dxa"/>
              <w:bottom w:w="0" w:type="dxa"/>
              <w:right w:w="62" w:type="dxa"/>
            </w:tcMar>
          </w:tcPr>
          <w:p w:rsidR="00000000" w:rsidRPr="00E815F0" w:rsidP="00E815F0">
            <w:pPr>
              <w:pStyle w:val="BodyText"/>
            </w:pPr>
            <w:r w:rsidRPr="00E815F0">
              <w:rPr>
                <w:rStyle w:val="SpecialBold"/>
              </w:rPr>
              <w:t>Apply</w:t>
            </w:r>
            <w:r w:rsidRPr="00E815F0">
              <w:t xml:space="preserve"> </w:t>
            </w:r>
            <w:r w:rsidRPr="00E815F0">
              <w:rPr>
                <w:rStyle w:val="SpecialBold"/>
              </w:rPr>
              <w:t>General Rules of Interpretation (IRs) to justify selection of appropriate tariff heading</w:t>
            </w:r>
          </w:p>
        </w:tc>
        <w:tc>
          <w:tcPr>
            <w:tcW w:w="2005" w:type="dxa"/>
            <w:gridSpan w:val="2"/>
            <w:tcBorders>
              <w:top w:val="nil"/>
              <w:left w:val="nil"/>
              <w:bottom w:val="nil"/>
              <w:right w:val="nil"/>
            </w:tcBorders>
            <w:tcMar>
              <w:top w:w="0" w:type="dxa"/>
              <w:left w:w="62" w:type="dxa"/>
              <w:bottom w:w="0" w:type="dxa"/>
              <w:right w:w="62" w:type="dxa"/>
            </w:tcMar>
          </w:tcPr>
          <w:p w:rsidR="00000000" w:rsidP="00E815F0">
            <w:pPr>
              <w:pStyle w:val="BodyText"/>
              <w:rPr>
                <w:lang w:val="en-NZ"/>
              </w:rPr>
            </w:pPr>
            <w:r w:rsidRPr="00E815F0">
              <w:rPr>
                <w:rStyle w:val="SpecialBold"/>
              </w:rPr>
              <w:t>3.1</w:t>
            </w:r>
          </w:p>
        </w:tc>
        <w:tc>
          <w:tcPr>
            <w:tcW w:w="3600" w:type="dxa"/>
            <w:tcBorders>
              <w:top w:val="nil"/>
              <w:left w:val="nil"/>
              <w:bottom w:val="nil"/>
              <w:right w:val="nil"/>
            </w:tcBorders>
            <w:tcMar>
              <w:top w:w="0" w:type="dxa"/>
              <w:left w:w="62" w:type="dxa"/>
              <w:bottom w:w="0" w:type="dxa"/>
              <w:right w:w="62" w:type="dxa"/>
            </w:tcMar>
          </w:tcPr>
          <w:p w:rsidR="00000000" w:rsidP="00E815F0">
            <w:pPr>
              <w:pStyle w:val="BodyText"/>
              <w:rPr>
                <w:lang w:val="en-NZ"/>
              </w:rPr>
            </w:pPr>
            <w:r w:rsidRPr="00E815F0">
              <w:t>Tariff headings are considered in relation to legal notes and IRs</w:t>
            </w:r>
          </w:p>
        </w:tc>
      </w:tr>
      <w:tr w:rsidTr="00E815F0">
        <w:tblPrEx>
          <w:tblW w:w="9498" w:type="dxa"/>
          <w:tblLayout w:type="fixed"/>
          <w:tblCellMar>
            <w:left w:w="62" w:type="dxa"/>
            <w:right w:w="62" w:type="dxa"/>
          </w:tblCellMar>
          <w:tblLook w:val="0000"/>
        </w:tblPrEx>
        <w:trPr>
          <w:gridAfter w:val="1"/>
          <w:wAfter w:w="1316" w:type="dxa"/>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71" w:type="dxa"/>
            <w:tcBorders>
              <w:top w:val="nil"/>
              <w:left w:val="nil"/>
              <w:bottom w:val="nil"/>
              <w:right w:val="nil"/>
            </w:tcBorders>
            <w:tcMar>
              <w:top w:w="0" w:type="dxa"/>
              <w:left w:w="62" w:type="dxa"/>
              <w:bottom w:w="0" w:type="dxa"/>
              <w:right w:w="62" w:type="dxa"/>
            </w:tcMar>
          </w:tcPr>
          <w:p w:rsidR="00000000" w:rsidRPr="00E815F0">
            <w:pPr>
              <w:pStyle w:val="BodyText"/>
              <w:keepLines w:val="0"/>
              <w:spacing w:before="0" w:after="0"/>
            </w:pPr>
          </w:p>
        </w:tc>
        <w:tc>
          <w:tcPr>
            <w:tcW w:w="2005" w:type="dxa"/>
            <w:gridSpan w:val="2"/>
            <w:tcBorders>
              <w:top w:val="nil"/>
              <w:left w:val="nil"/>
              <w:bottom w:val="nil"/>
              <w:right w:val="nil"/>
            </w:tcBorders>
            <w:tcMar>
              <w:top w:w="0" w:type="dxa"/>
              <w:left w:w="62" w:type="dxa"/>
              <w:bottom w:w="0" w:type="dxa"/>
              <w:right w:w="62" w:type="dxa"/>
            </w:tcMar>
          </w:tcPr>
          <w:p w:rsidR="00000000" w:rsidP="00E815F0">
            <w:pPr>
              <w:pStyle w:val="BodyText"/>
              <w:rPr>
                <w:lang w:val="en-NZ"/>
              </w:rPr>
            </w:pPr>
            <w:r w:rsidRPr="00E815F0">
              <w:rPr>
                <w:rStyle w:val="SpecialBold"/>
              </w:rPr>
              <w:t>3.2</w:t>
            </w:r>
          </w:p>
        </w:tc>
        <w:tc>
          <w:tcPr>
            <w:tcW w:w="3600" w:type="dxa"/>
            <w:tcBorders>
              <w:top w:val="nil"/>
              <w:left w:val="nil"/>
              <w:bottom w:val="nil"/>
              <w:right w:val="nil"/>
            </w:tcBorders>
            <w:tcMar>
              <w:top w:w="0" w:type="dxa"/>
              <w:left w:w="62" w:type="dxa"/>
              <w:bottom w:w="0" w:type="dxa"/>
              <w:right w:w="62" w:type="dxa"/>
            </w:tcMar>
          </w:tcPr>
          <w:p w:rsidR="00000000" w:rsidP="00E815F0">
            <w:pPr>
              <w:pStyle w:val="BodyText"/>
              <w:rPr>
                <w:lang w:val="en-NZ"/>
              </w:rPr>
            </w:pPr>
            <w:r w:rsidRPr="00E815F0">
              <w:t>Rejection of headings is justified by reference to legal notes and IRs</w:t>
            </w:r>
          </w:p>
        </w:tc>
      </w:tr>
      <w:tr w:rsidTr="00E815F0">
        <w:tblPrEx>
          <w:tblW w:w="9498" w:type="dxa"/>
          <w:tblLayout w:type="fixed"/>
          <w:tblCellMar>
            <w:left w:w="62" w:type="dxa"/>
            <w:right w:w="62" w:type="dxa"/>
          </w:tblCellMar>
          <w:tblLook w:val="0000"/>
        </w:tblPrEx>
        <w:trPr>
          <w:gridAfter w:val="1"/>
          <w:wAfter w:w="1316" w:type="dxa"/>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71" w:type="dxa"/>
            <w:tcBorders>
              <w:top w:val="nil"/>
              <w:left w:val="nil"/>
              <w:bottom w:val="nil"/>
              <w:right w:val="nil"/>
            </w:tcBorders>
            <w:tcMar>
              <w:top w:w="0" w:type="dxa"/>
              <w:left w:w="62" w:type="dxa"/>
              <w:bottom w:w="0" w:type="dxa"/>
              <w:right w:w="62" w:type="dxa"/>
            </w:tcMar>
          </w:tcPr>
          <w:p w:rsidR="00000000" w:rsidRPr="00E815F0">
            <w:pPr>
              <w:pStyle w:val="BodyText"/>
              <w:keepLines w:val="0"/>
              <w:spacing w:before="0" w:after="0"/>
            </w:pPr>
          </w:p>
        </w:tc>
        <w:tc>
          <w:tcPr>
            <w:tcW w:w="2005" w:type="dxa"/>
            <w:gridSpan w:val="2"/>
            <w:tcBorders>
              <w:top w:val="nil"/>
              <w:left w:val="nil"/>
              <w:bottom w:val="nil"/>
              <w:right w:val="nil"/>
            </w:tcBorders>
            <w:tcMar>
              <w:top w:w="0" w:type="dxa"/>
              <w:left w:w="62" w:type="dxa"/>
              <w:bottom w:w="0" w:type="dxa"/>
              <w:right w:w="62" w:type="dxa"/>
            </w:tcMar>
          </w:tcPr>
          <w:p w:rsidR="00000000" w:rsidP="00E815F0">
            <w:pPr>
              <w:pStyle w:val="BodyText"/>
              <w:rPr>
                <w:lang w:val="en-NZ"/>
              </w:rPr>
            </w:pPr>
            <w:r w:rsidRPr="00E815F0">
              <w:rPr>
                <w:rStyle w:val="SpecialBold"/>
              </w:rPr>
              <w:t>3.3</w:t>
            </w:r>
          </w:p>
        </w:tc>
        <w:tc>
          <w:tcPr>
            <w:tcW w:w="3600" w:type="dxa"/>
            <w:tcBorders>
              <w:top w:val="nil"/>
              <w:left w:val="nil"/>
              <w:bottom w:val="nil"/>
              <w:right w:val="nil"/>
            </w:tcBorders>
            <w:tcMar>
              <w:top w:w="0" w:type="dxa"/>
              <w:left w:w="62" w:type="dxa"/>
              <w:bottom w:w="0" w:type="dxa"/>
              <w:right w:w="62" w:type="dxa"/>
            </w:tcMar>
          </w:tcPr>
          <w:p w:rsidR="00000000" w:rsidP="00E815F0">
            <w:pPr>
              <w:pStyle w:val="BodyText"/>
              <w:rPr>
                <w:lang w:val="en-NZ"/>
              </w:rPr>
            </w:pPr>
            <w:r w:rsidRPr="00E815F0">
              <w:t>Administrative Appeals Tr</w:t>
            </w:r>
            <w:r w:rsidRPr="00E815F0">
              <w:t xml:space="preserve">ibunal (AAT) decisions, court cases and other precedents on tariff classification are interpreted </w:t>
            </w:r>
          </w:p>
        </w:tc>
      </w:tr>
      <w:tr w:rsidTr="00E815F0">
        <w:tblPrEx>
          <w:tblW w:w="9498" w:type="dxa"/>
          <w:tblLayout w:type="fixed"/>
          <w:tblCellMar>
            <w:left w:w="62" w:type="dxa"/>
            <w:right w:w="62" w:type="dxa"/>
          </w:tblCellMar>
          <w:tblLook w:val="0000"/>
        </w:tblPrEx>
        <w:trPr>
          <w:gridAfter w:val="1"/>
          <w:wAfter w:w="1316" w:type="dxa"/>
        </w:trPr>
        <w:tc>
          <w:tcPr>
            <w:tcW w:w="406" w:type="dxa"/>
            <w:tcBorders>
              <w:top w:val="nil"/>
              <w:left w:val="nil"/>
              <w:bottom w:val="nil"/>
              <w:right w:val="nil"/>
            </w:tcBorders>
            <w:tcMar>
              <w:top w:w="0" w:type="dxa"/>
              <w:left w:w="62" w:type="dxa"/>
              <w:bottom w:w="0" w:type="dxa"/>
              <w:right w:w="62" w:type="dxa"/>
            </w:tcMar>
          </w:tcPr>
          <w:p w:rsidR="00000000" w:rsidRPr="00E815F0" w:rsidP="00E815F0">
            <w:pPr>
              <w:pStyle w:val="BodyText"/>
            </w:pPr>
            <w:r w:rsidRPr="00E815F0">
              <w:rPr>
                <w:rStyle w:val="SpecialBold"/>
              </w:rPr>
              <w:t>4</w:t>
            </w:r>
          </w:p>
        </w:tc>
        <w:tc>
          <w:tcPr>
            <w:tcW w:w="2171" w:type="dxa"/>
            <w:tcBorders>
              <w:top w:val="nil"/>
              <w:left w:val="nil"/>
              <w:bottom w:val="nil"/>
              <w:right w:val="nil"/>
            </w:tcBorders>
            <w:tcMar>
              <w:top w:w="0" w:type="dxa"/>
              <w:left w:w="62" w:type="dxa"/>
              <w:bottom w:w="0" w:type="dxa"/>
              <w:right w:w="62" w:type="dxa"/>
            </w:tcMar>
          </w:tcPr>
          <w:p w:rsidR="00000000" w:rsidRPr="00E815F0" w:rsidP="00E815F0">
            <w:pPr>
              <w:pStyle w:val="BodyText"/>
            </w:pPr>
            <w:r w:rsidRPr="00E815F0">
              <w:rPr>
                <w:rStyle w:val="SpecialBold"/>
              </w:rPr>
              <w:t>Select tariff sub-headings</w:t>
            </w:r>
          </w:p>
        </w:tc>
        <w:tc>
          <w:tcPr>
            <w:tcW w:w="2005" w:type="dxa"/>
            <w:gridSpan w:val="2"/>
            <w:tcBorders>
              <w:top w:val="nil"/>
              <w:left w:val="nil"/>
              <w:bottom w:val="nil"/>
              <w:right w:val="nil"/>
            </w:tcBorders>
            <w:tcMar>
              <w:top w:w="0" w:type="dxa"/>
              <w:left w:w="62" w:type="dxa"/>
              <w:bottom w:w="0" w:type="dxa"/>
              <w:right w:w="62" w:type="dxa"/>
            </w:tcMar>
          </w:tcPr>
          <w:p w:rsidR="00000000" w:rsidP="00E815F0">
            <w:pPr>
              <w:pStyle w:val="BodyText"/>
              <w:rPr>
                <w:lang w:val="en-NZ"/>
              </w:rPr>
            </w:pPr>
            <w:r w:rsidRPr="00E815F0">
              <w:rPr>
                <w:rStyle w:val="SpecialBold"/>
              </w:rPr>
              <w:t>4.1</w:t>
            </w:r>
          </w:p>
        </w:tc>
        <w:tc>
          <w:tcPr>
            <w:tcW w:w="3600" w:type="dxa"/>
            <w:tcBorders>
              <w:top w:val="nil"/>
              <w:left w:val="nil"/>
              <w:bottom w:val="nil"/>
              <w:right w:val="nil"/>
            </w:tcBorders>
            <w:tcMar>
              <w:top w:w="0" w:type="dxa"/>
              <w:left w:w="62" w:type="dxa"/>
              <w:bottom w:w="0" w:type="dxa"/>
              <w:right w:w="62" w:type="dxa"/>
            </w:tcMar>
          </w:tcPr>
          <w:p w:rsidR="00000000" w:rsidP="00E815F0">
            <w:pPr>
              <w:pStyle w:val="BodyText"/>
              <w:rPr>
                <w:lang w:val="en-NZ"/>
              </w:rPr>
            </w:pPr>
            <w:r w:rsidRPr="00E815F0">
              <w:t>Dash system for classifying goods is applied</w:t>
            </w:r>
          </w:p>
        </w:tc>
      </w:tr>
      <w:tr w:rsidTr="00E815F0">
        <w:tblPrEx>
          <w:tblW w:w="9498" w:type="dxa"/>
          <w:tblLayout w:type="fixed"/>
          <w:tblCellMar>
            <w:left w:w="62" w:type="dxa"/>
            <w:right w:w="62" w:type="dxa"/>
          </w:tblCellMar>
          <w:tblLook w:val="0000"/>
        </w:tblPrEx>
        <w:trPr>
          <w:gridAfter w:val="1"/>
          <w:wAfter w:w="1316" w:type="dxa"/>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71" w:type="dxa"/>
            <w:tcBorders>
              <w:top w:val="nil"/>
              <w:left w:val="nil"/>
              <w:bottom w:val="nil"/>
              <w:right w:val="nil"/>
            </w:tcBorders>
            <w:tcMar>
              <w:top w:w="0" w:type="dxa"/>
              <w:left w:w="62" w:type="dxa"/>
              <w:bottom w:w="0" w:type="dxa"/>
              <w:right w:w="62" w:type="dxa"/>
            </w:tcMar>
          </w:tcPr>
          <w:p w:rsidR="00000000" w:rsidRPr="00E815F0">
            <w:pPr>
              <w:pStyle w:val="BodyText"/>
              <w:keepLines w:val="0"/>
              <w:spacing w:before="0" w:after="0"/>
            </w:pPr>
          </w:p>
        </w:tc>
        <w:tc>
          <w:tcPr>
            <w:tcW w:w="2005" w:type="dxa"/>
            <w:gridSpan w:val="2"/>
            <w:tcBorders>
              <w:top w:val="nil"/>
              <w:left w:val="nil"/>
              <w:bottom w:val="nil"/>
              <w:right w:val="nil"/>
            </w:tcBorders>
            <w:tcMar>
              <w:top w:w="0" w:type="dxa"/>
              <w:left w:w="62" w:type="dxa"/>
              <w:bottom w:w="0" w:type="dxa"/>
              <w:right w:w="62" w:type="dxa"/>
            </w:tcMar>
          </w:tcPr>
          <w:p w:rsidR="00000000" w:rsidP="00E815F0">
            <w:pPr>
              <w:pStyle w:val="BodyText"/>
              <w:rPr>
                <w:lang w:val="en-NZ"/>
              </w:rPr>
            </w:pPr>
            <w:r w:rsidRPr="00E815F0">
              <w:rPr>
                <w:rStyle w:val="SpecialBold"/>
              </w:rPr>
              <w:t>4.2</w:t>
            </w:r>
          </w:p>
        </w:tc>
        <w:tc>
          <w:tcPr>
            <w:tcW w:w="3600" w:type="dxa"/>
            <w:tcBorders>
              <w:top w:val="nil"/>
              <w:left w:val="nil"/>
              <w:bottom w:val="nil"/>
              <w:right w:val="nil"/>
            </w:tcBorders>
            <w:tcMar>
              <w:top w:w="0" w:type="dxa"/>
              <w:left w:w="62" w:type="dxa"/>
              <w:bottom w:w="0" w:type="dxa"/>
              <w:right w:w="62" w:type="dxa"/>
            </w:tcMar>
          </w:tcPr>
          <w:p w:rsidR="00000000" w:rsidP="00E815F0">
            <w:pPr>
              <w:pStyle w:val="BodyText"/>
              <w:rPr>
                <w:lang w:val="en-NZ"/>
              </w:rPr>
            </w:pPr>
            <w:r w:rsidRPr="00E815F0">
              <w:t>Sub-headings are reviewed in hierarchical order</w:t>
            </w:r>
          </w:p>
        </w:tc>
      </w:tr>
      <w:tr w:rsidTr="00E815F0">
        <w:tblPrEx>
          <w:tblW w:w="9498" w:type="dxa"/>
          <w:tblLayout w:type="fixed"/>
          <w:tblCellMar>
            <w:left w:w="62" w:type="dxa"/>
            <w:right w:w="62" w:type="dxa"/>
          </w:tblCellMar>
          <w:tblLook w:val="0000"/>
        </w:tblPrEx>
        <w:trPr>
          <w:gridAfter w:val="1"/>
          <w:wAfter w:w="1316" w:type="dxa"/>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71" w:type="dxa"/>
            <w:tcBorders>
              <w:top w:val="nil"/>
              <w:left w:val="nil"/>
              <w:bottom w:val="nil"/>
              <w:right w:val="nil"/>
            </w:tcBorders>
            <w:tcMar>
              <w:top w:w="0" w:type="dxa"/>
              <w:left w:w="62" w:type="dxa"/>
              <w:bottom w:w="0" w:type="dxa"/>
              <w:right w:w="62" w:type="dxa"/>
            </w:tcMar>
          </w:tcPr>
          <w:p w:rsidR="00000000" w:rsidRPr="00E815F0">
            <w:pPr>
              <w:pStyle w:val="BodyText"/>
              <w:keepLines w:val="0"/>
              <w:spacing w:before="0" w:after="0"/>
            </w:pPr>
          </w:p>
        </w:tc>
        <w:tc>
          <w:tcPr>
            <w:tcW w:w="2005" w:type="dxa"/>
            <w:gridSpan w:val="2"/>
            <w:tcBorders>
              <w:top w:val="nil"/>
              <w:left w:val="nil"/>
              <w:bottom w:val="nil"/>
              <w:right w:val="nil"/>
            </w:tcBorders>
            <w:tcMar>
              <w:top w:w="0" w:type="dxa"/>
              <w:left w:w="62" w:type="dxa"/>
              <w:bottom w:w="0" w:type="dxa"/>
              <w:right w:w="62" w:type="dxa"/>
            </w:tcMar>
          </w:tcPr>
          <w:p w:rsidR="00000000" w:rsidP="00E815F0">
            <w:pPr>
              <w:pStyle w:val="BodyText"/>
              <w:rPr>
                <w:lang w:val="en-NZ"/>
              </w:rPr>
            </w:pPr>
            <w:r w:rsidRPr="00E815F0">
              <w:rPr>
                <w:rStyle w:val="SpecialBold"/>
              </w:rPr>
              <w:t>4.3</w:t>
            </w:r>
          </w:p>
        </w:tc>
        <w:tc>
          <w:tcPr>
            <w:tcW w:w="3600" w:type="dxa"/>
            <w:tcBorders>
              <w:top w:val="nil"/>
              <w:left w:val="nil"/>
              <w:bottom w:val="nil"/>
              <w:right w:val="nil"/>
            </w:tcBorders>
            <w:tcMar>
              <w:top w:w="0" w:type="dxa"/>
              <w:left w:w="62" w:type="dxa"/>
              <w:bottom w:w="0" w:type="dxa"/>
              <w:right w:w="62" w:type="dxa"/>
            </w:tcMar>
          </w:tcPr>
          <w:p w:rsidR="00000000" w:rsidP="00E815F0">
            <w:pPr>
              <w:pStyle w:val="BodyText"/>
              <w:rPr>
                <w:lang w:val="en-NZ"/>
              </w:rPr>
            </w:pPr>
            <w:r w:rsidRPr="00E815F0">
              <w:t>IR 6 is reviewed and applied</w:t>
            </w:r>
          </w:p>
        </w:tc>
      </w:tr>
      <w:tr w:rsidTr="00E815F0">
        <w:tblPrEx>
          <w:tblW w:w="9498" w:type="dxa"/>
          <w:tblLayout w:type="fixed"/>
          <w:tblCellMar>
            <w:left w:w="62" w:type="dxa"/>
            <w:right w:w="62" w:type="dxa"/>
          </w:tblCellMar>
          <w:tblLook w:val="0000"/>
        </w:tblPrEx>
        <w:trPr>
          <w:gridAfter w:val="1"/>
          <w:wAfter w:w="1316" w:type="dxa"/>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71" w:type="dxa"/>
            <w:tcBorders>
              <w:top w:val="nil"/>
              <w:left w:val="nil"/>
              <w:bottom w:val="nil"/>
              <w:right w:val="nil"/>
            </w:tcBorders>
            <w:tcMar>
              <w:top w:w="0" w:type="dxa"/>
              <w:left w:w="62" w:type="dxa"/>
              <w:bottom w:w="0" w:type="dxa"/>
              <w:right w:w="62" w:type="dxa"/>
            </w:tcMar>
          </w:tcPr>
          <w:p w:rsidR="00000000" w:rsidRPr="00E815F0">
            <w:pPr>
              <w:pStyle w:val="BodyText"/>
              <w:keepLines w:val="0"/>
              <w:spacing w:before="0" w:after="0"/>
            </w:pPr>
          </w:p>
        </w:tc>
        <w:tc>
          <w:tcPr>
            <w:tcW w:w="2005" w:type="dxa"/>
            <w:gridSpan w:val="2"/>
            <w:tcBorders>
              <w:top w:val="nil"/>
              <w:left w:val="nil"/>
              <w:bottom w:val="nil"/>
              <w:right w:val="nil"/>
            </w:tcBorders>
            <w:tcMar>
              <w:top w:w="0" w:type="dxa"/>
              <w:left w:w="62" w:type="dxa"/>
              <w:bottom w:w="0" w:type="dxa"/>
              <w:right w:w="62" w:type="dxa"/>
            </w:tcMar>
          </w:tcPr>
          <w:p w:rsidR="00000000" w:rsidP="00E815F0">
            <w:pPr>
              <w:pStyle w:val="BodyText"/>
              <w:rPr>
                <w:lang w:val="en-NZ"/>
              </w:rPr>
            </w:pPr>
            <w:r w:rsidRPr="00E815F0">
              <w:rPr>
                <w:rStyle w:val="SpecialBold"/>
              </w:rPr>
              <w:t>4.4</w:t>
            </w:r>
          </w:p>
        </w:tc>
        <w:tc>
          <w:tcPr>
            <w:tcW w:w="3600" w:type="dxa"/>
            <w:tcBorders>
              <w:top w:val="nil"/>
              <w:left w:val="nil"/>
              <w:bottom w:val="nil"/>
              <w:right w:val="nil"/>
            </w:tcBorders>
            <w:tcMar>
              <w:top w:w="0" w:type="dxa"/>
              <w:left w:w="62" w:type="dxa"/>
              <w:bottom w:w="0" w:type="dxa"/>
              <w:right w:w="62" w:type="dxa"/>
            </w:tcMar>
          </w:tcPr>
          <w:p w:rsidR="00000000" w:rsidP="00E815F0">
            <w:pPr>
              <w:pStyle w:val="BodyText"/>
              <w:rPr>
                <w:lang w:val="en-NZ"/>
              </w:rPr>
            </w:pPr>
            <w:r w:rsidRPr="00E815F0">
              <w:t>Appropriate sub-heading is selected</w:t>
            </w:r>
          </w:p>
        </w:tc>
      </w:tr>
      <w:tr w:rsidTr="00E815F0">
        <w:tblPrEx>
          <w:tblW w:w="9498" w:type="dxa"/>
          <w:tblLayout w:type="fixed"/>
          <w:tblCellMar>
            <w:left w:w="62" w:type="dxa"/>
            <w:right w:w="62" w:type="dxa"/>
          </w:tblCellMar>
          <w:tblLook w:val="0000"/>
        </w:tblPrEx>
        <w:trPr>
          <w:gridAfter w:val="1"/>
          <w:wAfter w:w="1316" w:type="dxa"/>
        </w:trPr>
        <w:tc>
          <w:tcPr>
            <w:tcW w:w="406" w:type="dxa"/>
            <w:tcBorders>
              <w:top w:val="nil"/>
              <w:left w:val="nil"/>
              <w:bottom w:val="nil"/>
              <w:right w:val="nil"/>
            </w:tcBorders>
            <w:tcMar>
              <w:top w:w="0" w:type="dxa"/>
              <w:left w:w="62" w:type="dxa"/>
              <w:bottom w:w="0" w:type="dxa"/>
              <w:right w:w="62" w:type="dxa"/>
            </w:tcMar>
          </w:tcPr>
          <w:p w:rsidR="00000000" w:rsidRPr="00E815F0" w:rsidP="00E815F0">
            <w:pPr>
              <w:pStyle w:val="BodyText"/>
            </w:pPr>
            <w:r w:rsidRPr="00E815F0">
              <w:rPr>
                <w:rStyle w:val="SpecialBold"/>
              </w:rPr>
              <w:t>5</w:t>
            </w:r>
          </w:p>
        </w:tc>
        <w:tc>
          <w:tcPr>
            <w:tcW w:w="2171" w:type="dxa"/>
            <w:tcBorders>
              <w:top w:val="nil"/>
              <w:left w:val="nil"/>
              <w:bottom w:val="nil"/>
              <w:right w:val="nil"/>
            </w:tcBorders>
            <w:tcMar>
              <w:top w:w="0" w:type="dxa"/>
              <w:left w:w="62" w:type="dxa"/>
              <w:bottom w:w="0" w:type="dxa"/>
              <w:right w:w="62" w:type="dxa"/>
            </w:tcMar>
          </w:tcPr>
          <w:p w:rsidR="00000000" w:rsidRPr="00E815F0" w:rsidP="00E815F0">
            <w:pPr>
              <w:pStyle w:val="BodyText"/>
            </w:pPr>
            <w:r w:rsidRPr="00E815F0">
              <w:rPr>
                <w:rStyle w:val="SpecialBold"/>
              </w:rPr>
              <w:t>Determine tariff classification</w:t>
            </w:r>
          </w:p>
        </w:tc>
        <w:tc>
          <w:tcPr>
            <w:tcW w:w="2005" w:type="dxa"/>
            <w:gridSpan w:val="2"/>
            <w:tcBorders>
              <w:top w:val="nil"/>
              <w:left w:val="nil"/>
              <w:bottom w:val="nil"/>
              <w:right w:val="nil"/>
            </w:tcBorders>
            <w:tcMar>
              <w:top w:w="0" w:type="dxa"/>
              <w:left w:w="62" w:type="dxa"/>
              <w:bottom w:w="0" w:type="dxa"/>
              <w:right w:w="62" w:type="dxa"/>
            </w:tcMar>
          </w:tcPr>
          <w:p w:rsidR="00000000" w:rsidP="00E815F0">
            <w:pPr>
              <w:pStyle w:val="BodyText"/>
              <w:rPr>
                <w:lang w:val="en-NZ"/>
              </w:rPr>
            </w:pPr>
            <w:r w:rsidRPr="00E815F0">
              <w:rPr>
                <w:rStyle w:val="SpecialBold"/>
              </w:rPr>
              <w:t>5.1</w:t>
            </w:r>
          </w:p>
        </w:tc>
        <w:tc>
          <w:tcPr>
            <w:tcW w:w="3600" w:type="dxa"/>
            <w:tcBorders>
              <w:top w:val="nil"/>
              <w:left w:val="nil"/>
              <w:bottom w:val="nil"/>
              <w:right w:val="nil"/>
            </w:tcBorders>
            <w:tcMar>
              <w:top w:w="0" w:type="dxa"/>
              <w:left w:w="62" w:type="dxa"/>
              <w:bottom w:w="0" w:type="dxa"/>
              <w:right w:w="62" w:type="dxa"/>
            </w:tcMar>
          </w:tcPr>
          <w:p w:rsidR="00000000" w:rsidP="00E815F0">
            <w:pPr>
              <w:pStyle w:val="BodyText"/>
              <w:rPr>
                <w:lang w:val="en-NZ"/>
              </w:rPr>
            </w:pPr>
            <w:r w:rsidRPr="00E815F0">
              <w:t>Tariff classification is determined</w:t>
            </w:r>
          </w:p>
        </w:tc>
      </w:tr>
      <w:tr w:rsidTr="00E815F0">
        <w:tblPrEx>
          <w:tblW w:w="9498" w:type="dxa"/>
          <w:tblLayout w:type="fixed"/>
          <w:tblCellMar>
            <w:left w:w="62" w:type="dxa"/>
            <w:right w:w="62" w:type="dxa"/>
          </w:tblCellMar>
          <w:tblLook w:val="0000"/>
        </w:tblPrEx>
        <w:trPr>
          <w:gridAfter w:val="1"/>
          <w:wAfter w:w="1316" w:type="dxa"/>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71" w:type="dxa"/>
            <w:tcBorders>
              <w:top w:val="nil"/>
              <w:left w:val="nil"/>
              <w:bottom w:val="nil"/>
              <w:right w:val="nil"/>
            </w:tcBorders>
            <w:tcMar>
              <w:top w:w="0" w:type="dxa"/>
              <w:left w:w="62" w:type="dxa"/>
              <w:bottom w:w="0" w:type="dxa"/>
              <w:right w:w="62" w:type="dxa"/>
            </w:tcMar>
          </w:tcPr>
          <w:p w:rsidR="00000000" w:rsidRPr="00E815F0">
            <w:pPr>
              <w:pStyle w:val="BodyText"/>
              <w:keepLines w:val="0"/>
              <w:spacing w:before="0" w:after="0"/>
            </w:pPr>
          </w:p>
        </w:tc>
        <w:tc>
          <w:tcPr>
            <w:tcW w:w="2005" w:type="dxa"/>
            <w:gridSpan w:val="2"/>
            <w:tcBorders>
              <w:top w:val="nil"/>
              <w:left w:val="nil"/>
              <w:bottom w:val="nil"/>
              <w:right w:val="nil"/>
            </w:tcBorders>
            <w:tcMar>
              <w:top w:w="0" w:type="dxa"/>
              <w:left w:w="62" w:type="dxa"/>
              <w:bottom w:w="0" w:type="dxa"/>
              <w:right w:w="62" w:type="dxa"/>
            </w:tcMar>
          </w:tcPr>
          <w:p w:rsidR="00000000" w:rsidP="00E815F0">
            <w:pPr>
              <w:pStyle w:val="BodyText"/>
              <w:rPr>
                <w:lang w:val="en-NZ"/>
              </w:rPr>
            </w:pPr>
            <w:r w:rsidRPr="00E815F0">
              <w:rPr>
                <w:rStyle w:val="SpecialBold"/>
              </w:rPr>
              <w:t>5.2</w:t>
            </w:r>
          </w:p>
        </w:tc>
        <w:tc>
          <w:tcPr>
            <w:tcW w:w="3600" w:type="dxa"/>
            <w:tcBorders>
              <w:top w:val="nil"/>
              <w:left w:val="nil"/>
              <w:bottom w:val="nil"/>
              <w:right w:val="nil"/>
            </w:tcBorders>
            <w:tcMar>
              <w:top w:w="0" w:type="dxa"/>
              <w:left w:w="62" w:type="dxa"/>
              <w:bottom w:w="0" w:type="dxa"/>
              <w:right w:w="62" w:type="dxa"/>
            </w:tcMar>
          </w:tcPr>
          <w:p w:rsidR="00000000" w:rsidP="00E815F0">
            <w:pPr>
              <w:pStyle w:val="BodyText"/>
              <w:rPr>
                <w:lang w:val="en-NZ"/>
              </w:rPr>
            </w:pPr>
            <w:r w:rsidRPr="00E815F0">
              <w:t>Statistical code is identified and applied</w:t>
            </w:r>
          </w:p>
        </w:tc>
      </w:tr>
      <w:tr w:rsidTr="00E815F0">
        <w:tblPrEx>
          <w:tblW w:w="9498" w:type="dxa"/>
          <w:tblLayout w:type="fixed"/>
          <w:tblCellMar>
            <w:left w:w="62" w:type="dxa"/>
            <w:right w:w="62" w:type="dxa"/>
          </w:tblCellMar>
          <w:tblLook w:val="0000"/>
        </w:tblPrEx>
        <w:trPr>
          <w:gridAfter w:val="1"/>
          <w:wAfter w:w="1316" w:type="dxa"/>
        </w:trPr>
        <w:tc>
          <w:tcPr>
            <w:tcW w:w="406" w:type="dxa"/>
            <w:tcBorders>
              <w:top w:val="nil"/>
              <w:left w:val="nil"/>
              <w:bottom w:val="nil"/>
              <w:right w:val="nil"/>
            </w:tcBorders>
            <w:tcMar>
              <w:top w:w="0" w:type="dxa"/>
              <w:left w:w="62" w:type="dxa"/>
              <w:bottom w:w="0" w:type="dxa"/>
              <w:right w:w="62" w:type="dxa"/>
            </w:tcMar>
          </w:tcPr>
          <w:p w:rsidR="00000000" w:rsidRPr="00E815F0" w:rsidP="00E815F0">
            <w:pPr>
              <w:pStyle w:val="BodyText"/>
            </w:pPr>
            <w:r w:rsidRPr="00E815F0">
              <w:rPr>
                <w:rStyle w:val="SpecialBold"/>
              </w:rPr>
              <w:t>6</w:t>
            </w:r>
          </w:p>
        </w:tc>
        <w:tc>
          <w:tcPr>
            <w:tcW w:w="2171" w:type="dxa"/>
            <w:tcBorders>
              <w:top w:val="nil"/>
              <w:left w:val="nil"/>
              <w:bottom w:val="nil"/>
              <w:right w:val="nil"/>
            </w:tcBorders>
            <w:tcMar>
              <w:top w:w="0" w:type="dxa"/>
              <w:left w:w="62" w:type="dxa"/>
              <w:bottom w:w="0" w:type="dxa"/>
              <w:right w:w="62" w:type="dxa"/>
            </w:tcMar>
          </w:tcPr>
          <w:p w:rsidR="00000000" w:rsidRPr="00E815F0" w:rsidP="00E815F0">
            <w:pPr>
              <w:pStyle w:val="BodyText"/>
            </w:pPr>
            <w:r w:rsidRPr="00E815F0">
              <w:rPr>
                <w:rStyle w:val="SpecialBold"/>
              </w:rPr>
              <w:t>Prepare</w:t>
            </w:r>
            <w:r w:rsidRPr="00E815F0">
              <w:t xml:space="preserve"> </w:t>
            </w:r>
            <w:r w:rsidRPr="00E815F0">
              <w:rPr>
                <w:rStyle w:val="SpecialBold"/>
              </w:rPr>
              <w:t xml:space="preserve">Application for Tariff Advice </w:t>
            </w:r>
          </w:p>
        </w:tc>
        <w:tc>
          <w:tcPr>
            <w:tcW w:w="2005" w:type="dxa"/>
            <w:gridSpan w:val="2"/>
            <w:tcBorders>
              <w:top w:val="nil"/>
              <w:left w:val="nil"/>
              <w:bottom w:val="nil"/>
              <w:right w:val="nil"/>
            </w:tcBorders>
            <w:tcMar>
              <w:top w:w="0" w:type="dxa"/>
              <w:left w:w="62" w:type="dxa"/>
              <w:bottom w:w="0" w:type="dxa"/>
              <w:right w:w="62" w:type="dxa"/>
            </w:tcMar>
          </w:tcPr>
          <w:p w:rsidR="00000000" w:rsidP="00E815F0">
            <w:pPr>
              <w:pStyle w:val="BodyText"/>
              <w:rPr>
                <w:lang w:val="en-NZ"/>
              </w:rPr>
            </w:pPr>
            <w:r w:rsidRPr="00E815F0">
              <w:rPr>
                <w:rStyle w:val="SpecialBold"/>
              </w:rPr>
              <w:t>6.1</w:t>
            </w:r>
          </w:p>
        </w:tc>
        <w:tc>
          <w:tcPr>
            <w:tcW w:w="3600" w:type="dxa"/>
            <w:tcBorders>
              <w:top w:val="nil"/>
              <w:left w:val="nil"/>
              <w:bottom w:val="nil"/>
              <w:right w:val="nil"/>
            </w:tcBorders>
            <w:tcMar>
              <w:top w:w="0" w:type="dxa"/>
              <w:left w:w="62" w:type="dxa"/>
              <w:bottom w:w="0" w:type="dxa"/>
              <w:right w:w="62" w:type="dxa"/>
            </w:tcMar>
          </w:tcPr>
          <w:p w:rsidR="00000000" w:rsidP="00E815F0">
            <w:pPr>
              <w:pStyle w:val="BodyText"/>
              <w:rPr>
                <w:lang w:val="en-NZ"/>
              </w:rPr>
            </w:pPr>
            <w:r w:rsidRPr="00E815F0">
              <w:t>A requirement for an Application for Tariff Advice is identified</w:t>
            </w:r>
          </w:p>
        </w:tc>
      </w:tr>
      <w:tr w:rsidTr="00E815F0">
        <w:tblPrEx>
          <w:tblW w:w="9498" w:type="dxa"/>
          <w:tblLayout w:type="fixed"/>
          <w:tblCellMar>
            <w:left w:w="62" w:type="dxa"/>
            <w:right w:w="62" w:type="dxa"/>
          </w:tblCellMar>
          <w:tblLook w:val="0000"/>
        </w:tblPrEx>
        <w:trPr>
          <w:gridAfter w:val="1"/>
          <w:wAfter w:w="1316" w:type="dxa"/>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71" w:type="dxa"/>
            <w:tcBorders>
              <w:top w:val="nil"/>
              <w:left w:val="nil"/>
              <w:bottom w:val="nil"/>
              <w:right w:val="nil"/>
            </w:tcBorders>
            <w:tcMar>
              <w:top w:w="0" w:type="dxa"/>
              <w:left w:w="62" w:type="dxa"/>
              <w:bottom w:w="0" w:type="dxa"/>
              <w:right w:w="62" w:type="dxa"/>
            </w:tcMar>
          </w:tcPr>
          <w:p w:rsidR="00000000" w:rsidRPr="00E815F0">
            <w:pPr>
              <w:pStyle w:val="BodyText"/>
              <w:keepLines w:val="0"/>
              <w:spacing w:before="0" w:after="0"/>
            </w:pPr>
          </w:p>
        </w:tc>
        <w:tc>
          <w:tcPr>
            <w:tcW w:w="2005" w:type="dxa"/>
            <w:gridSpan w:val="2"/>
            <w:tcBorders>
              <w:top w:val="nil"/>
              <w:left w:val="nil"/>
              <w:bottom w:val="nil"/>
              <w:right w:val="nil"/>
            </w:tcBorders>
            <w:tcMar>
              <w:top w:w="0" w:type="dxa"/>
              <w:left w:w="62" w:type="dxa"/>
              <w:bottom w:w="0" w:type="dxa"/>
              <w:right w:w="62" w:type="dxa"/>
            </w:tcMar>
          </w:tcPr>
          <w:p w:rsidR="00000000" w:rsidP="00E815F0">
            <w:pPr>
              <w:pStyle w:val="BodyText"/>
              <w:rPr>
                <w:lang w:val="en-NZ"/>
              </w:rPr>
            </w:pPr>
            <w:r w:rsidRPr="00E815F0">
              <w:rPr>
                <w:rStyle w:val="SpecialBold"/>
              </w:rPr>
              <w:t>6.2</w:t>
            </w:r>
          </w:p>
        </w:tc>
        <w:tc>
          <w:tcPr>
            <w:tcW w:w="3600" w:type="dxa"/>
            <w:tcBorders>
              <w:top w:val="nil"/>
              <w:left w:val="nil"/>
              <w:bottom w:val="nil"/>
              <w:right w:val="nil"/>
            </w:tcBorders>
            <w:tcMar>
              <w:top w:w="0" w:type="dxa"/>
              <w:left w:w="62" w:type="dxa"/>
              <w:bottom w:w="0" w:type="dxa"/>
              <w:right w:w="62" w:type="dxa"/>
            </w:tcMar>
          </w:tcPr>
          <w:p w:rsidR="00000000" w:rsidRPr="00E815F0" w:rsidP="00E815F0">
            <w:pPr>
              <w:pStyle w:val="BodyText"/>
            </w:pPr>
            <w:r w:rsidRPr="00E815F0">
              <w:t>Application for Tariff Advice is prepared</w:t>
            </w:r>
          </w:p>
        </w:tc>
      </w:tr>
    </w:tbl>
    <w:p w:rsidR="00BA55A6" w:rsidP="00E815F0">
      <w:pPr>
        <w:pStyle w:val="NoPaddingFontSize1"/>
      </w:pPr>
    </w:p>
    <w:p w:rsidR="00BA55A6" w:rsidP="00E815F0">
      <w:pPr>
        <w:pStyle w:val="NoPaddingFontSize1"/>
      </w:pPr>
    </w:p>
    <w:p w:rsidR="00000000" w:rsidRPr="00E815F0" w:rsidP="00E815F0">
      <w:pPr>
        <w:pStyle w:val="Heading1"/>
      </w:pPr>
      <w:bookmarkStart w:id="7" w:name="O_1232588"/>
      <w:bookmarkEnd w:id="7"/>
      <w:r w:rsidRPr="00E815F0">
        <w:t>Foundation Skills</w:t>
      </w:r>
    </w:p>
    <w:tbl>
      <w:tblPr>
        <w:tblW w:w="9497" w:type="dxa"/>
        <w:tblLayout w:type="fixed"/>
        <w:tblCellMar>
          <w:left w:w="62" w:type="dxa"/>
          <w:right w:w="62" w:type="dxa"/>
        </w:tblCellMar>
        <w:tblLook w:val="0000"/>
      </w:tblPr>
      <w:tblGrid>
        <w:gridCol w:w="9497"/>
      </w:tblGrid>
      <w:tr w:rsidTr="00E815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15F0" w:rsidP="00E815F0">
            <w:pPr>
              <w:pStyle w:val="BodyText"/>
            </w:pPr>
            <w:r w:rsidRPr="00E815F0">
              <w:t>Foundation skills essential to performance are explicit in the performance criteria of this unit of c</w:t>
            </w:r>
            <w:r w:rsidRPr="00E815F0">
              <w:t>ompetency.</w:t>
            </w:r>
          </w:p>
        </w:tc>
      </w:tr>
    </w:tbl>
    <w:p w:rsidR="00BA55A6" w:rsidP="00E815F0">
      <w:pPr>
        <w:pStyle w:val="NoPaddingFontSize1"/>
      </w:pPr>
    </w:p>
    <w:p w:rsidR="00BA55A6" w:rsidP="00E815F0">
      <w:pPr>
        <w:pStyle w:val="NoPaddingFontSize1"/>
      </w:pPr>
    </w:p>
    <w:p w:rsidR="00000000" w:rsidRPr="00E815F0" w:rsidP="00E815F0">
      <w:pPr>
        <w:pStyle w:val="Heading1"/>
      </w:pPr>
      <w:bookmarkStart w:id="8" w:name="O_1232589"/>
      <w:bookmarkEnd w:id="8"/>
      <w:r w:rsidRPr="00E815F0">
        <w:t>Range of Conditions</w:t>
      </w:r>
    </w:p>
    <w:tbl>
      <w:tblPr>
        <w:tblW w:w="9497" w:type="dxa"/>
        <w:tblLayout w:type="fixed"/>
        <w:tblCellMar>
          <w:left w:w="62" w:type="dxa"/>
          <w:right w:w="62" w:type="dxa"/>
        </w:tblCellMar>
        <w:tblLook w:val="0000"/>
      </w:tblPr>
      <w:tblGrid>
        <w:gridCol w:w="9497"/>
      </w:tblGrid>
      <w:tr w:rsidTr="00E815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15F0" w:rsidP="00E815F0">
            <w:pPr>
              <w:pStyle w:val="BodyText"/>
            </w:pPr>
            <w:r w:rsidRPr="00E815F0">
              <w:t>Range is restricted to essential operating conditions and any other variables essential to the work environment.</w:t>
            </w:r>
          </w:p>
        </w:tc>
      </w:tr>
    </w:tbl>
    <w:p w:rsidR="00BA55A6" w:rsidP="00E815F0">
      <w:pPr>
        <w:pStyle w:val="NoPaddingFontSize1"/>
      </w:pPr>
    </w:p>
    <w:p w:rsidR="00BA55A6" w:rsidP="00E815F0">
      <w:pPr>
        <w:pStyle w:val="NoPaddingFontSize1"/>
      </w:pPr>
    </w:p>
    <w:p w:rsidR="00000000" w:rsidRPr="00E815F0" w:rsidP="00E815F0">
      <w:pPr>
        <w:pStyle w:val="Heading1"/>
      </w:pPr>
      <w:bookmarkStart w:id="9" w:name="O_1232590"/>
      <w:bookmarkEnd w:id="9"/>
      <w:r w:rsidRPr="00E815F0">
        <w:t>Unit Mapping Information</w:t>
      </w:r>
    </w:p>
    <w:tbl>
      <w:tblPr>
        <w:tblW w:w="9497" w:type="dxa"/>
        <w:tblLayout w:type="fixed"/>
        <w:tblCellMar>
          <w:left w:w="62" w:type="dxa"/>
          <w:right w:w="62" w:type="dxa"/>
        </w:tblCellMar>
        <w:tblLook w:val="0000"/>
      </w:tblPr>
      <w:tblGrid>
        <w:gridCol w:w="9497"/>
      </w:tblGrid>
      <w:tr w:rsidTr="00E815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15F0" w:rsidP="00E815F0">
            <w:pPr>
              <w:pStyle w:val="BodyText"/>
            </w:pPr>
            <w:r w:rsidRPr="00E815F0">
              <w:t>This unit replaces but is not equivalent to TLIX0001 Determine tariff classification of goods.</w:t>
            </w:r>
          </w:p>
        </w:tc>
      </w:tr>
    </w:tbl>
    <w:p w:rsidR="00BA55A6" w:rsidP="00E815F0">
      <w:pPr>
        <w:pStyle w:val="NoPaddingFontSize1"/>
      </w:pPr>
    </w:p>
    <w:p w:rsidR="00BA55A6" w:rsidP="00E815F0">
      <w:pPr>
        <w:pStyle w:val="NoPaddingFontSize1"/>
      </w:pPr>
    </w:p>
    <w:p w:rsidR="00000000" w:rsidRPr="00E815F0" w:rsidP="00E815F0">
      <w:pPr>
        <w:pStyle w:val="Heading1"/>
      </w:pPr>
      <w:bookmarkStart w:id="10" w:name="O_1232597"/>
      <w:bookmarkEnd w:id="10"/>
      <w:r w:rsidRPr="00E815F0">
        <w:t>Links</w:t>
      </w:r>
    </w:p>
    <w:p w:rsidR="00000000" w:rsidRPr="00E815F0" w:rsidP="00BA55A6">
      <w:pPr>
        <w:pStyle w:val="BodyText"/>
      </w:pPr>
      <w:r w:rsidRPr="00E815F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32E6A">
        <w:rPr>
          <w:rStyle w:val="Hyperlink"/>
        </w:rPr>
        <w:t>https://vetnet.gov.au/Pages/TrainingDocs.aspx?q=df441c6e-213d-43e3-874c-0b3f7036d851</w:t>
      </w:r>
      <w:r>
        <w:fldChar w:fldCharType="end"/>
      </w:r>
    </w:p>
    <w:p w:rsidR="00000000" w:rsidRPr="00E815F0" w:rsidP="00BA55A6">
      <w:pPr>
        <w:pStyle w:val="BodyText"/>
        <w:sectPr w:rsidSect="00E815F0">
          <w:headerReference w:type="default" r:id="rId10"/>
          <w:footerReference w:type="default" r:id="rId11"/>
          <w:pgSz w:w="11908" w:h="16833"/>
          <w:pgMar w:top="1702" w:right="1418" w:bottom="1702" w:left="1418" w:header="992" w:footer="992" w:gutter="0"/>
          <w:cols w:space="720"/>
          <w:noEndnote/>
          <w:docGrid w:linePitch="299"/>
        </w:sectPr>
      </w:pPr>
    </w:p>
    <w:p w:rsidR="00000000" w:rsidRPr="00E815F0" w:rsidP="00E815F0">
      <w:pPr>
        <w:pStyle w:val="SuperHeading"/>
      </w:pPr>
      <w:r w:rsidRPr="00E815F0">
        <w:t>Assessment Requirements for TLIX0036 Determine tariff classification of goods</w:t>
      </w:r>
    </w:p>
    <w:p w:rsidR="00000000" w:rsidRPr="00E815F0" w:rsidP="00E815F0">
      <w:pPr>
        <w:pStyle w:val="Heading1"/>
      </w:pPr>
      <w:bookmarkStart w:id="11" w:name="O_1232592"/>
      <w:bookmarkEnd w:id="11"/>
      <w:r w:rsidRPr="00E815F0">
        <w:t>Modification History</w:t>
      </w:r>
    </w:p>
    <w:tbl>
      <w:tblPr>
        <w:tblW w:w="9497" w:type="dxa"/>
        <w:tblLayout w:type="fixed"/>
        <w:tblCellMar>
          <w:left w:w="62" w:type="dxa"/>
          <w:right w:w="62" w:type="dxa"/>
        </w:tblCellMar>
        <w:tblLook w:val="0000"/>
      </w:tblPr>
      <w:tblGrid>
        <w:gridCol w:w="9497"/>
      </w:tblGrid>
      <w:tr w:rsidTr="00E815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15F0" w:rsidP="00E815F0">
            <w:pPr>
              <w:pStyle w:val="BodyText"/>
            </w:pPr>
            <w:r w:rsidRPr="00E815F0">
              <w:rPr>
                <w:rStyle w:val="SpecialBold"/>
              </w:rPr>
              <w:t xml:space="preserve">Release 1. </w:t>
            </w:r>
            <w:r w:rsidRPr="00E815F0">
              <w:t>This is the first release of this unit of competency in the TLI Transport and Logistics Training Package.</w:t>
            </w:r>
          </w:p>
        </w:tc>
      </w:tr>
    </w:tbl>
    <w:p w:rsidR="00BA55A6" w:rsidP="00E815F0">
      <w:pPr>
        <w:pStyle w:val="NoPaddingFontSize1"/>
      </w:pPr>
    </w:p>
    <w:p w:rsidR="00BA55A6" w:rsidP="00E815F0">
      <w:pPr>
        <w:pStyle w:val="NoPaddingFontSize1"/>
      </w:pPr>
    </w:p>
    <w:p w:rsidR="00000000" w:rsidRPr="00E815F0" w:rsidP="00E815F0">
      <w:pPr>
        <w:pStyle w:val="Heading1"/>
      </w:pPr>
      <w:bookmarkStart w:id="12" w:name="O_1232593"/>
      <w:bookmarkEnd w:id="12"/>
      <w:r w:rsidRPr="00E815F0">
        <w:t>Performance Evidence</w:t>
      </w:r>
    </w:p>
    <w:tbl>
      <w:tblPr>
        <w:tblW w:w="9497" w:type="dxa"/>
        <w:tblLayout w:type="fixed"/>
        <w:tblCellMar>
          <w:left w:w="62" w:type="dxa"/>
          <w:right w:w="62" w:type="dxa"/>
        </w:tblCellMar>
        <w:tblLook w:val="0000"/>
      </w:tblPr>
      <w:tblGrid>
        <w:gridCol w:w="9497"/>
      </w:tblGrid>
      <w:tr w:rsidTr="00E815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15F0" w:rsidP="00E815F0">
            <w:pPr>
              <w:pStyle w:val="BodyText"/>
            </w:pPr>
            <w:r w:rsidRPr="00E815F0">
              <w:t>Evidence required to demonstrate competence in this unit must be relevant to and satisfy all of the require</w:t>
            </w:r>
            <w:r w:rsidRPr="00E815F0">
              <w:t>ments of the elements and performance criteria on at least one occasion and include:</w:t>
            </w:r>
          </w:p>
          <w:p w:rsidR="00000000" w:rsidRPr="00E815F0" w:rsidP="00E815F0">
            <w:pPr>
              <w:pStyle w:val="ListBullet"/>
            </w:pPr>
            <w:r w:rsidRPr="00E815F0">
              <w:t>applying information to guide tariff classification</w:t>
            </w:r>
          </w:p>
          <w:p w:rsidR="00000000" w:rsidRPr="00E815F0" w:rsidP="00E815F0">
            <w:pPr>
              <w:pStyle w:val="ListBullet"/>
            </w:pPr>
            <w:r w:rsidRPr="00E815F0">
              <w:t xml:space="preserve">applying the General Rules of Interpretation (IR) and legal notes </w:t>
            </w:r>
          </w:p>
          <w:p w:rsidR="00000000" w:rsidRPr="00E815F0" w:rsidP="00E815F0">
            <w:pPr>
              <w:pStyle w:val="ListBullet"/>
            </w:pPr>
            <w:r w:rsidRPr="00E815F0">
              <w:t>determining the correct customs tariff classification for goods across the tariff</w:t>
            </w:r>
          </w:p>
          <w:p w:rsidR="00000000" w:rsidRPr="00E815F0" w:rsidP="00E815F0">
            <w:pPr>
              <w:pStyle w:val="ListBullet"/>
            </w:pPr>
            <w:r w:rsidRPr="00E815F0">
              <w:t>justifying decisions made for tariff classification.</w:t>
            </w:r>
          </w:p>
        </w:tc>
      </w:tr>
    </w:tbl>
    <w:p w:rsidR="00BA55A6" w:rsidP="00E815F0">
      <w:pPr>
        <w:pStyle w:val="NoPaddingFontSize1"/>
      </w:pPr>
    </w:p>
    <w:p w:rsidR="00BA55A6" w:rsidP="00E815F0">
      <w:pPr>
        <w:pStyle w:val="NoPaddingFontSize1"/>
      </w:pPr>
    </w:p>
    <w:p w:rsidR="00000000" w:rsidRPr="00E815F0" w:rsidP="00E815F0">
      <w:pPr>
        <w:pStyle w:val="Heading1"/>
      </w:pPr>
      <w:bookmarkStart w:id="13" w:name="O_1232594"/>
      <w:bookmarkEnd w:id="13"/>
      <w:r w:rsidRPr="00E815F0">
        <w:t>Knowledge Evidence</w:t>
      </w:r>
    </w:p>
    <w:tbl>
      <w:tblPr>
        <w:tblW w:w="9497" w:type="dxa"/>
        <w:tblLayout w:type="fixed"/>
        <w:tblCellMar>
          <w:left w:w="62" w:type="dxa"/>
          <w:right w:w="62" w:type="dxa"/>
        </w:tblCellMar>
        <w:tblLook w:val="0000"/>
      </w:tblPr>
      <w:tblGrid>
        <w:gridCol w:w="9497"/>
      </w:tblGrid>
      <w:tr w:rsidTr="00E815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15F0" w:rsidP="00E815F0">
            <w:pPr>
              <w:pStyle w:val="BodyText"/>
            </w:pPr>
            <w:r w:rsidRPr="00E815F0">
              <w:t>Evidence required to demonstrate competence in this unit must be relevant to and</w:t>
            </w:r>
            <w:r w:rsidRPr="00E815F0">
              <w:t xml:space="preserve"> satisfy all of the requirements of the elements and performance criteria and include knowledge of:</w:t>
            </w:r>
          </w:p>
          <w:p w:rsidR="00000000" w:rsidRPr="00E815F0" w:rsidP="00E815F0">
            <w:pPr>
              <w:pStyle w:val="ListBullet"/>
            </w:pPr>
            <w:r w:rsidRPr="00E815F0">
              <w:t>identification of commodities for tariff classification purposes</w:t>
            </w:r>
          </w:p>
          <w:p w:rsidR="00000000" w:rsidRPr="00E815F0" w:rsidP="00E815F0">
            <w:pPr>
              <w:pStyle w:val="ListBullet"/>
            </w:pPr>
            <w:r w:rsidRPr="00E815F0">
              <w:t>legislation and regulations including:</w:t>
            </w:r>
          </w:p>
          <w:p w:rsidR="00000000" w:rsidRPr="00E815F0" w:rsidP="00E815F0">
            <w:pPr>
              <w:pStyle w:val="ListBullet2"/>
            </w:pPr>
            <w:r w:rsidRPr="00E815F0">
              <w:t>Australian Export Tariff</w:t>
            </w:r>
          </w:p>
          <w:p w:rsidR="00000000" w:rsidRPr="00E815F0" w:rsidP="00E815F0">
            <w:pPr>
              <w:pStyle w:val="ListBullet2"/>
            </w:pPr>
            <w:r w:rsidRPr="00E815F0">
              <w:t>Customs Tariff Act and Schedules 2 and 3 to the Act</w:t>
            </w:r>
          </w:p>
          <w:p w:rsidR="00000000" w:rsidRPr="00E815F0" w:rsidP="00E815F0">
            <w:pPr>
              <w:pStyle w:val="ListBullet2"/>
            </w:pPr>
            <w:r w:rsidRPr="00E815F0">
              <w:t>other customs and related legislation</w:t>
            </w:r>
          </w:p>
          <w:p w:rsidR="00000000" w:rsidRPr="00E815F0" w:rsidP="00E815F0">
            <w:pPr>
              <w:pStyle w:val="ListBullet"/>
            </w:pPr>
            <w:r w:rsidRPr="00E815F0">
              <w:t>use and application of:</w:t>
            </w:r>
          </w:p>
          <w:p w:rsidR="00000000" w:rsidRPr="00E815F0" w:rsidP="00E815F0">
            <w:pPr>
              <w:pStyle w:val="ListBullet2"/>
            </w:pPr>
            <w:r w:rsidRPr="00E815F0">
              <w:t>Australian Working Tariff</w:t>
            </w:r>
          </w:p>
          <w:p w:rsidR="00000000" w:rsidRPr="00E815F0" w:rsidP="00E815F0">
            <w:pPr>
              <w:pStyle w:val="ListBullet2"/>
            </w:pPr>
            <w:r w:rsidRPr="00E815F0">
              <w:t>customs policy and precedents</w:t>
            </w:r>
          </w:p>
          <w:p w:rsidR="00000000" w:rsidRPr="00E815F0" w:rsidP="00E815F0">
            <w:pPr>
              <w:pStyle w:val="ListBullet2"/>
            </w:pPr>
            <w:r w:rsidRPr="00E815F0">
              <w:t>General Rules of Interpretation (IRs)</w:t>
            </w:r>
          </w:p>
          <w:p w:rsidR="00000000" w:rsidRPr="00E815F0" w:rsidP="00E815F0">
            <w:pPr>
              <w:pStyle w:val="ListBullet2"/>
            </w:pPr>
            <w:r w:rsidRPr="00E815F0">
              <w:t>Harmonised System Explanatory Notes (HSEN)</w:t>
            </w:r>
          </w:p>
          <w:p w:rsidR="00000000" w:rsidRPr="00E815F0" w:rsidP="00E815F0">
            <w:pPr>
              <w:pStyle w:val="ListBullet2"/>
            </w:pPr>
            <w:r w:rsidRPr="00E815F0">
              <w:t>rel</w:t>
            </w:r>
            <w:r w:rsidRPr="00E815F0">
              <w:t>evant case law</w:t>
            </w:r>
          </w:p>
          <w:p w:rsidR="00000000" w:rsidRPr="00E815F0" w:rsidP="00E815F0">
            <w:pPr>
              <w:pStyle w:val="ListBullet2"/>
            </w:pPr>
            <w:r w:rsidRPr="00E815F0">
              <w:t>use of legal notes, including section and chapter notes.</w:t>
            </w:r>
          </w:p>
        </w:tc>
      </w:tr>
    </w:tbl>
    <w:p w:rsidR="00BA55A6" w:rsidP="00E815F0">
      <w:pPr>
        <w:pStyle w:val="NoPaddingFontSize1"/>
      </w:pPr>
    </w:p>
    <w:p w:rsidR="00BA55A6" w:rsidP="00E815F0">
      <w:pPr>
        <w:pStyle w:val="NoPaddingFontSize1"/>
      </w:pPr>
    </w:p>
    <w:p w:rsidR="00000000" w:rsidRPr="00E815F0" w:rsidP="00E815F0">
      <w:pPr>
        <w:pStyle w:val="Heading1"/>
      </w:pPr>
      <w:bookmarkStart w:id="14" w:name="O_1232595"/>
      <w:bookmarkEnd w:id="14"/>
      <w:r w:rsidRPr="00E815F0">
        <w:t>Assessment Conditions</w:t>
      </w:r>
    </w:p>
    <w:tbl>
      <w:tblPr>
        <w:tblW w:w="9497" w:type="dxa"/>
        <w:tblLayout w:type="fixed"/>
        <w:tblCellMar>
          <w:left w:w="62" w:type="dxa"/>
          <w:right w:w="62" w:type="dxa"/>
        </w:tblCellMar>
        <w:tblLook w:val="0000"/>
      </w:tblPr>
      <w:tblGrid>
        <w:gridCol w:w="9497"/>
      </w:tblGrid>
      <w:tr w:rsidTr="00E815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15F0" w:rsidP="00E815F0">
            <w:pPr>
              <w:pStyle w:val="BodyText"/>
            </w:pPr>
            <w:r w:rsidRPr="00E815F0">
              <w:t xml:space="preserve">Assessors must hold credentials specified within the Standards for Registered Training Organisations current at the time of assessment. </w:t>
            </w:r>
          </w:p>
          <w:p w:rsidR="00000000" w:rsidRPr="00E815F0" w:rsidP="00E815F0">
            <w:pPr>
              <w:pStyle w:val="BodyText"/>
            </w:pPr>
            <w:r w:rsidRPr="00E815F0">
              <w:t>Assessment must satisfy the Principles of Assessment and Rules of Evidence and all regulatory requirements included within the Standards for Registered Training Organisations current at the time of assessment.</w:t>
            </w:r>
          </w:p>
          <w:p w:rsidR="00000000" w:rsidRPr="00E815F0" w:rsidP="00E815F0">
            <w:pPr>
              <w:pStyle w:val="BodyText"/>
            </w:pPr>
            <w:r w:rsidRPr="00E815F0">
              <w:t>Assessment must occur in workplace operational</w:t>
            </w:r>
            <w:r w:rsidRPr="00E815F0">
              <w:t xml:space="preserve"> situations where it is appropriate to do so; where this is not appropriate, assessment must occur in simulated workplace operational situations that replicate workplace conditions.</w:t>
            </w:r>
          </w:p>
          <w:p w:rsidR="00000000" w:rsidRPr="00E815F0" w:rsidP="00E815F0">
            <w:pPr>
              <w:pStyle w:val="BodyText"/>
            </w:pPr>
            <w:r w:rsidRPr="00E815F0">
              <w:t>Assessment processes and techniques must be appropriate to the language, l</w:t>
            </w:r>
            <w:r w:rsidRPr="00E815F0">
              <w:t>iteracy and numeracy requirements of the work being performed and the needs of the candidate.</w:t>
            </w:r>
          </w:p>
          <w:p w:rsidR="00000000" w:rsidRPr="00E815F0" w:rsidP="00E815F0">
            <w:pPr>
              <w:pStyle w:val="BodyText"/>
            </w:pPr>
            <w:r w:rsidRPr="00E815F0">
              <w:t>Resources for assessment must include access to:</w:t>
            </w:r>
          </w:p>
          <w:p w:rsidR="00000000" w:rsidRPr="00E815F0" w:rsidP="00E815F0">
            <w:pPr>
              <w:pStyle w:val="ListBullet"/>
            </w:pPr>
            <w:r w:rsidRPr="00E815F0">
              <w:t>a range of relevant exercises, case studies and/or simulations</w:t>
            </w:r>
          </w:p>
          <w:p w:rsidR="00000000" w:rsidRPr="00E815F0" w:rsidP="00E815F0">
            <w:pPr>
              <w:pStyle w:val="ListBullet"/>
            </w:pPr>
            <w:r w:rsidRPr="00E815F0">
              <w:t>applicable documentation including IRs, regulatio</w:t>
            </w:r>
            <w:r w:rsidRPr="00E815F0">
              <w:t>ns and codes of practice.</w:t>
            </w:r>
          </w:p>
        </w:tc>
      </w:tr>
    </w:tbl>
    <w:p w:rsidR="00000000" w:rsidRPr="00E815F0" w:rsidP="00E815F0">
      <w:pPr>
        <w:pStyle w:val="NoPaddingFontSize1"/>
      </w:pPr>
    </w:p>
    <w:p w:rsidR="00000000" w:rsidRPr="00E815F0" w:rsidP="00E815F0">
      <w:pPr>
        <w:pStyle w:val="AllowPageBreak"/>
      </w:pPr>
    </w:p>
    <w:p w:rsidR="00000000" w:rsidRPr="00E815F0" w:rsidP="00E815F0">
      <w:pPr>
        <w:pStyle w:val="Heading1"/>
      </w:pPr>
      <w:bookmarkStart w:id="15" w:name="O_1232598"/>
      <w:bookmarkEnd w:id="15"/>
      <w:r w:rsidRPr="00E815F0">
        <w:t>Links</w:t>
      </w:r>
    </w:p>
    <w:p w:rsidR="00000000" w:rsidRPr="00E815F0" w:rsidP="00BA55A6">
      <w:pPr>
        <w:pStyle w:val="BodyText"/>
      </w:pPr>
      <w:r w:rsidRPr="00E815F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32E6A">
        <w:rPr>
          <w:rStyle w:val="Hyperlink"/>
        </w:rPr>
        <w:t>https://vetnet.gov.au/Pages/TrainingDocs.aspx?q=df441c6e-213d-43e3-874c-0b3f7036d851</w:t>
      </w:r>
      <w:r>
        <w:fldChar w:fldCharType="end"/>
      </w:r>
    </w:p>
    <w:p w:rsidR="00000000" w:rsidRPr="00E815F0" w:rsidP="00E815F0"/>
    <w:sectPr w:rsidSect="00E815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5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5F0" w:rsidRPr="00BA55A6" w:rsidP="00BA55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5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5A6" w:rsidP="00E815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A55A6" w:rsidP="00E815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A55A6" w:rsidP="00E815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5F0" w:rsidP="00E815F0">
    <w:pPr>
      <w:pStyle w:val="Footer"/>
      <w:framePr w:wrap="around"/>
    </w:pPr>
    <w:r>
      <w:fldChar w:fldCharType="begin"/>
    </w:r>
    <w:r>
      <w:instrText xml:space="preserve"> DOCPROPERTY  Subject  \* MERGEFORMAT </w:instrText>
    </w:r>
    <w:r>
      <w:fldChar w:fldCharType="separate"/>
    </w:r>
    <w:r w:rsidR="00BA55A6">
      <w:t>Approved</w:t>
    </w:r>
    <w:r w:rsidR="00BA55A6">
      <w:fldChar w:fldCharType="end"/>
    </w:r>
    <w:r>
      <w:tab/>
      <w:t xml:space="preserve">Page </w:t>
    </w:r>
    <w:r>
      <w:fldChar w:fldCharType="begin"/>
    </w:r>
    <w:r>
      <w:instrText xml:space="preserve"> PAGE  \* Arabic  \* MERGEFORMAT </w:instrText>
    </w:r>
    <w:r>
      <w:fldChar w:fldCharType="separate"/>
    </w:r>
    <w:r w:rsidR="00BA55A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A55A6">
      <w:rPr>
        <w:noProof/>
      </w:rPr>
      <w:t>5</w:t>
    </w:r>
    <w:r>
      <w:rPr>
        <w:noProof/>
      </w:rPr>
      <w:fldChar w:fldCharType="end"/>
    </w:r>
  </w:p>
  <w:p w:rsidR="00E815F0" w:rsidP="00E815F0">
    <w:pPr>
      <w:pStyle w:val="Footer"/>
      <w:framePr w:wrap="around"/>
    </w:pPr>
    <w:r>
      <w:t xml:space="preserve">© Commonwealth of Australia, </w:t>
    </w:r>
    <w:r>
      <w:fldChar w:fldCharType="begin"/>
    </w:r>
    <w:r>
      <w:instrText xml:space="preserve"> DATE  \@ "yyyy"  \* MERGEFORMAT </w:instrText>
    </w:r>
    <w:r>
      <w:fldChar w:fldCharType="separate"/>
    </w:r>
    <w:r w:rsidR="00BA55A6">
      <w:rPr>
        <w:noProof/>
      </w:rPr>
      <w:t>2025</w:t>
    </w:r>
    <w:r>
      <w:fldChar w:fldCharType="end"/>
    </w:r>
    <w:r>
      <w:tab/>
    </w:r>
    <w:r>
      <w:fldChar w:fldCharType="begin"/>
    </w:r>
    <w:r>
      <w:instrText xml:space="preserve"> DOCPROPERTY  Author  \* MERGEFORMAT </w:instrText>
    </w:r>
    <w:r>
      <w:fldChar w:fldCharType="separate"/>
    </w:r>
    <w:r w:rsidR="00BA55A6">
      <w:t>Industry Skills Australia</w:t>
    </w:r>
    <w:r w:rsidR="00BA55A6">
      <w:fldChar w:fldCharType="end"/>
    </w:r>
  </w:p>
  <w:p w:rsidR="00E815F0" w:rsidP="00E815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5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5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15F0" w:rsidRPr="00BA55A6" w:rsidP="00BA55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5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5A6" w:rsidRPr="002D2AF8" w:rsidP="00E815F0">
    <w:pPr>
      <w:pStyle w:val="Header"/>
      <w:framePr w:wrap="around"/>
    </w:pPr>
    <w:r>
      <w:fldChar w:fldCharType="begin"/>
    </w:r>
    <w:r>
      <w:instrText xml:space="preserve"> TITLE   \* MERGEFORMAT </w:instrText>
    </w:r>
    <w:r>
      <w:fldChar w:fldCharType="separate"/>
    </w:r>
    <w:r>
      <w:t>TLIX0036 Determine tariff classification of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A55A6" w:rsidP="00E815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5F0" w:rsidRPr="002D2AF8" w:rsidP="00E815F0">
    <w:pPr>
      <w:pStyle w:val="Header"/>
      <w:framePr w:wrap="around"/>
    </w:pPr>
    <w:r>
      <w:fldChar w:fldCharType="begin"/>
    </w:r>
    <w:r>
      <w:instrText xml:space="preserve"> TITLE   \* MERGEFORMAT </w:instrText>
    </w:r>
    <w:r>
      <w:fldChar w:fldCharType="separate"/>
    </w:r>
    <w:r w:rsidR="00BA55A6">
      <w:t>TLIX0036 Determine tariff classification of goods</w:t>
    </w:r>
    <w:r w:rsidR="00BA55A6">
      <w:fldChar w:fldCharType="end"/>
    </w:r>
    <w:r>
      <w:tab/>
      <w:t xml:space="preserve">Date this document was generated: </w:t>
    </w:r>
    <w:r>
      <w:fldChar w:fldCharType="begin"/>
    </w:r>
    <w:r>
      <w:instrText xml:space="preserve"> CREATEDATE  \@ "d MMMM yyyy"  \* MERGEFORMAT </w:instrText>
    </w:r>
    <w:r>
      <w:fldChar w:fldCharType="separate"/>
    </w:r>
    <w:r w:rsidR="00BA55A6">
      <w:rPr>
        <w:noProof/>
      </w:rPr>
      <w:t>2 March 2025</w:t>
    </w:r>
    <w:r>
      <w:fldChar w:fldCharType="end"/>
    </w:r>
  </w:p>
  <w:p w:rsidR="00E815F0" w:rsidP="00E815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30EB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1C10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261B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5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15F0"/>
    <w:pPr>
      <w:spacing w:before="360" w:after="60"/>
      <w:outlineLvl w:val="0"/>
    </w:pPr>
    <w:rPr>
      <w:sz w:val="32"/>
    </w:rPr>
  </w:style>
  <w:style w:type="paragraph" w:styleId="Heading2">
    <w:name w:val="heading 2"/>
    <w:basedOn w:val="HeadingBase"/>
    <w:next w:val="BodyText"/>
    <w:link w:val="Heading2Char"/>
    <w:qFormat/>
    <w:rsid w:val="00E815F0"/>
    <w:pPr>
      <w:keepLines/>
      <w:spacing w:before="240" w:after="120"/>
      <w:outlineLvl w:val="1"/>
    </w:pPr>
    <w:rPr>
      <w:sz w:val="28"/>
      <w:szCs w:val="40"/>
    </w:rPr>
  </w:style>
  <w:style w:type="paragraph" w:styleId="Heading3">
    <w:name w:val="heading 3"/>
    <w:basedOn w:val="HeadingBase"/>
    <w:next w:val="BodyText"/>
    <w:link w:val="Heading3Char"/>
    <w:qFormat/>
    <w:rsid w:val="00E815F0"/>
    <w:pPr>
      <w:spacing w:before="180" w:after="120"/>
      <w:outlineLvl w:val="2"/>
    </w:pPr>
    <w:rPr>
      <w:spacing w:val="-10"/>
      <w:kern w:val="32"/>
    </w:rPr>
  </w:style>
  <w:style w:type="paragraph" w:styleId="Heading4">
    <w:name w:val="heading 4"/>
    <w:basedOn w:val="HeadingBase"/>
    <w:next w:val="BodyText"/>
    <w:link w:val="Heading4Char"/>
    <w:qFormat/>
    <w:rsid w:val="00E815F0"/>
    <w:pPr>
      <w:spacing w:before="160" w:after="120"/>
      <w:outlineLvl w:val="3"/>
    </w:pPr>
    <w:rPr>
      <w:sz w:val="22"/>
    </w:rPr>
  </w:style>
  <w:style w:type="paragraph" w:styleId="Heading5">
    <w:name w:val="heading 5"/>
    <w:basedOn w:val="HeadingBase"/>
    <w:next w:val="Normal"/>
    <w:link w:val="Heading5Char"/>
    <w:qFormat/>
    <w:rsid w:val="00E815F0"/>
    <w:pPr>
      <w:spacing w:before="80"/>
      <w:outlineLvl w:val="4"/>
    </w:pPr>
    <w:rPr>
      <w:color w:val="918585"/>
      <w:sz w:val="20"/>
    </w:rPr>
  </w:style>
  <w:style w:type="paragraph" w:styleId="Heading6">
    <w:name w:val="heading 6"/>
    <w:basedOn w:val="HeadingBase"/>
    <w:next w:val="Normal"/>
    <w:link w:val="Heading6Char"/>
    <w:qFormat/>
    <w:rsid w:val="00E815F0"/>
    <w:pPr>
      <w:spacing w:before="60"/>
      <w:outlineLvl w:val="5"/>
    </w:pPr>
    <w:rPr>
      <w:color w:val="918585"/>
      <w:sz w:val="20"/>
    </w:rPr>
  </w:style>
  <w:style w:type="paragraph" w:styleId="Heading7">
    <w:name w:val="heading 7"/>
    <w:basedOn w:val="Normal"/>
    <w:next w:val="Normal"/>
    <w:link w:val="Heading7Char"/>
    <w:qFormat/>
    <w:rsid w:val="00E815F0"/>
    <w:pPr>
      <w:ind w:left="720"/>
      <w:outlineLvl w:val="6"/>
    </w:pPr>
    <w:rPr>
      <w:i/>
    </w:rPr>
  </w:style>
  <w:style w:type="paragraph" w:styleId="Heading8">
    <w:name w:val="heading 8"/>
    <w:basedOn w:val="Normal"/>
    <w:next w:val="Normal"/>
    <w:link w:val="Heading8Char"/>
    <w:qFormat/>
    <w:rsid w:val="00E815F0"/>
    <w:pPr>
      <w:ind w:left="720"/>
      <w:outlineLvl w:val="7"/>
    </w:pPr>
    <w:rPr>
      <w:i/>
    </w:rPr>
  </w:style>
  <w:style w:type="paragraph" w:styleId="Heading9">
    <w:name w:val="heading 9"/>
    <w:basedOn w:val="Normal"/>
    <w:next w:val="Normal"/>
    <w:link w:val="Heading9Char"/>
    <w:qFormat/>
    <w:rsid w:val="00E815F0"/>
    <w:pPr>
      <w:ind w:left="720"/>
      <w:outlineLvl w:val="8"/>
    </w:pPr>
    <w:rPr>
      <w:i/>
    </w:rPr>
  </w:style>
  <w:style w:type="character" w:default="1" w:styleId="DefaultParagraphFont">
    <w:name w:val="Default Paragraph Font"/>
    <w:uiPriority w:val="1"/>
    <w:unhideWhenUsed/>
    <w:rsid w:val="00E815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15F0"/>
  </w:style>
  <w:style w:type="character" w:customStyle="1" w:styleId="Heading1Char">
    <w:name w:val="Heading 1 Char"/>
    <w:basedOn w:val="DefaultParagraphFont"/>
    <w:link w:val="Heading1"/>
    <w:rsid w:val="00E815F0"/>
    <w:rPr>
      <w:rFonts w:ascii="Times New Roman" w:eastAsia="Times New Roman" w:hAnsi="Times New Roman" w:cs="Times New Roman"/>
      <w:b/>
      <w:sz w:val="32"/>
      <w:szCs w:val="20"/>
      <w:lang w:eastAsia="en-US"/>
    </w:rPr>
  </w:style>
  <w:style w:type="paragraph" w:styleId="BodyText">
    <w:name w:val="Body Text"/>
    <w:basedOn w:val="Normal"/>
    <w:link w:val="BodyTextChar"/>
    <w:rsid w:val="00E815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15F0"/>
    <w:rPr>
      <w:rFonts w:ascii="Times New Roman" w:eastAsia="Times New Roman" w:hAnsi="Times New Roman" w:cs="Times New Roman"/>
      <w:sz w:val="24"/>
      <w:lang w:eastAsia="en-US"/>
    </w:rPr>
  </w:style>
  <w:style w:type="paragraph" w:styleId="ListBullet">
    <w:name w:val="List Bullet"/>
    <w:basedOn w:val="List"/>
    <w:rsid w:val="00E815F0"/>
    <w:pPr>
      <w:numPr>
        <w:numId w:val="12"/>
      </w:numPr>
      <w:tabs>
        <w:tab w:val="clear" w:pos="340"/>
      </w:tabs>
      <w:spacing w:before="40" w:after="40"/>
    </w:pPr>
  </w:style>
  <w:style w:type="character" w:customStyle="1" w:styleId="SpecialBold">
    <w:name w:val="Special Bold"/>
    <w:basedOn w:val="DefaultParagraphFont"/>
    <w:rsid w:val="00E815F0"/>
    <w:rPr>
      <w:b/>
      <w:spacing w:val="0"/>
    </w:rPr>
  </w:style>
  <w:style w:type="paragraph" w:styleId="ListBullet2">
    <w:name w:val="List Bullet 2"/>
    <w:basedOn w:val="List2"/>
    <w:rsid w:val="00E815F0"/>
    <w:pPr>
      <w:numPr>
        <w:numId w:val="13"/>
      </w:numPr>
      <w:tabs>
        <w:tab w:val="clear" w:pos="680"/>
      </w:tabs>
    </w:pPr>
  </w:style>
  <w:style w:type="paragraph" w:customStyle="1" w:styleId="SuperHeading">
    <w:name w:val="SuperHeading"/>
    <w:basedOn w:val="Normal"/>
    <w:rsid w:val="00E815F0"/>
    <w:pPr>
      <w:spacing w:before="240" w:after="120"/>
      <w:outlineLvl w:val="0"/>
    </w:pPr>
    <w:rPr>
      <w:rFonts w:ascii="Times New Roman" w:hAnsi="Times New Roman"/>
      <w:b/>
      <w:sz w:val="32"/>
    </w:rPr>
  </w:style>
  <w:style w:type="paragraph" w:customStyle="1" w:styleId="AllowPageBreak">
    <w:name w:val="AllowPageBreak"/>
    <w:rsid w:val="00E815F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815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15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15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15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15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15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15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15F0"/>
    <w:rPr>
      <w:rFonts w:ascii="Courier New" w:eastAsia="Times New Roman" w:hAnsi="Courier New" w:cs="Times New Roman"/>
      <w:i/>
      <w:szCs w:val="20"/>
      <w:lang w:eastAsia="en-US"/>
    </w:rPr>
  </w:style>
  <w:style w:type="paragraph" w:customStyle="1" w:styleId="HeadingBase">
    <w:name w:val="Heading Base"/>
    <w:rsid w:val="00E815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15F0"/>
    <w:pPr>
      <w:tabs>
        <w:tab w:val="right" w:leader="dot" w:pos="9072"/>
      </w:tabs>
      <w:ind w:left="567"/>
    </w:pPr>
    <w:rPr>
      <w:szCs w:val="22"/>
    </w:rPr>
  </w:style>
  <w:style w:type="paragraph" w:customStyle="1" w:styleId="TOCBase">
    <w:name w:val="TOC Base"/>
    <w:rsid w:val="00E815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15F0"/>
    <w:pPr>
      <w:tabs>
        <w:tab w:val="right" w:leader="dot" w:pos="9072"/>
      </w:tabs>
      <w:spacing w:before="40" w:after="40"/>
      <w:ind w:left="284"/>
    </w:pPr>
    <w:rPr>
      <w:rFonts w:ascii="Times New Roman" w:hAnsi="Times New Roman"/>
    </w:rPr>
  </w:style>
  <w:style w:type="paragraph" w:styleId="TOC1">
    <w:name w:val="toc 1"/>
    <w:basedOn w:val="TOCBase"/>
    <w:next w:val="Normal"/>
    <w:rsid w:val="00E815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15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15F0"/>
    <w:rPr>
      <w:rFonts w:ascii="Times New Roman" w:eastAsia="Times New Roman" w:hAnsi="Times New Roman" w:cs="Times New Roman"/>
      <w:sz w:val="16"/>
      <w:lang w:eastAsia="en-US"/>
    </w:rPr>
  </w:style>
  <w:style w:type="paragraph" w:styleId="Title">
    <w:name w:val="Title"/>
    <w:basedOn w:val="HeadingBase"/>
    <w:link w:val="TitleChar"/>
    <w:qFormat/>
    <w:rsid w:val="00E815F0"/>
    <w:pPr>
      <w:spacing w:before="5040"/>
      <w:jc w:val="center"/>
    </w:pPr>
    <w:rPr>
      <w:sz w:val="48"/>
      <w:szCs w:val="72"/>
      <w:lang w:val="en-US"/>
    </w:rPr>
  </w:style>
  <w:style w:type="character" w:customStyle="1" w:styleId="TitleChar">
    <w:name w:val="Title Char"/>
    <w:basedOn w:val="DefaultParagraphFont"/>
    <w:link w:val="Title"/>
    <w:rsid w:val="00E815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15F0"/>
    <w:pPr>
      <w:tabs>
        <w:tab w:val="left" w:pos="3600"/>
        <w:tab w:val="left" w:pos="3958"/>
      </w:tabs>
    </w:pPr>
  </w:style>
  <w:style w:type="paragraph" w:styleId="List">
    <w:name w:val="List"/>
    <w:basedOn w:val="BodyText"/>
    <w:next w:val="BodyText"/>
    <w:rsid w:val="00E815F0"/>
    <w:pPr>
      <w:tabs>
        <w:tab w:val="left" w:pos="340"/>
      </w:tabs>
      <w:spacing w:before="60" w:after="60"/>
      <w:ind w:left="340" w:hanging="340"/>
    </w:pPr>
  </w:style>
  <w:style w:type="paragraph" w:customStyle="1" w:styleId="Note">
    <w:name w:val="Note"/>
    <w:basedOn w:val="BodyText"/>
    <w:rsid w:val="00E815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15F0"/>
    <w:pPr>
      <w:framePr w:wrap="auto" w:hAnchor="text" w:y="6049"/>
    </w:pPr>
    <w:rPr>
      <w:color w:val="000000"/>
      <w:sz w:val="40"/>
    </w:rPr>
  </w:style>
  <w:style w:type="paragraph" w:customStyle="1" w:styleId="TOCTitle">
    <w:name w:val="TOCTitle"/>
    <w:basedOn w:val="Heading1"/>
    <w:rsid w:val="00E815F0"/>
    <w:pPr>
      <w:spacing w:after="240"/>
      <w:jc w:val="center"/>
      <w:outlineLvl w:val="9"/>
    </w:pPr>
    <w:rPr>
      <w:caps/>
    </w:rPr>
  </w:style>
  <w:style w:type="paragraph" w:customStyle="1" w:styleId="Version">
    <w:name w:val="Version"/>
    <w:rsid w:val="00E815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15F0"/>
    <w:pPr>
      <w:keepNext w:val="0"/>
      <w:tabs>
        <w:tab w:val="right" w:pos="4176"/>
      </w:tabs>
      <w:ind w:left="198" w:hanging="198"/>
    </w:pPr>
    <w:rPr>
      <w:rFonts w:ascii="Garamond" w:hAnsi="Garamond"/>
    </w:rPr>
  </w:style>
  <w:style w:type="paragraph" w:styleId="IndexHeading">
    <w:name w:val="index heading"/>
    <w:basedOn w:val="Normal"/>
    <w:next w:val="Index1"/>
    <w:semiHidden/>
    <w:rsid w:val="00E815F0"/>
    <w:pPr>
      <w:spacing w:before="120" w:after="120"/>
    </w:pPr>
    <w:rPr>
      <w:rFonts w:ascii="Arial" w:hAnsi="Arial"/>
      <w:b/>
      <w:color w:val="918585"/>
      <w:sz w:val="24"/>
    </w:rPr>
  </w:style>
  <w:style w:type="paragraph" w:styleId="Header">
    <w:name w:val="header"/>
    <w:basedOn w:val="Normal"/>
    <w:link w:val="HeaderChar"/>
    <w:rsid w:val="00E815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15F0"/>
    <w:rPr>
      <w:rFonts w:ascii="Times New Roman" w:eastAsia="Times New Roman" w:hAnsi="Times New Roman" w:cs="Times New Roman"/>
      <w:sz w:val="16"/>
      <w:szCs w:val="20"/>
      <w:lang w:val="en-GB" w:eastAsia="en-US"/>
    </w:rPr>
  </w:style>
  <w:style w:type="paragraph" w:customStyle="1" w:styleId="Chapter">
    <w:name w:val="Chapter"/>
    <w:basedOn w:val="Normal"/>
    <w:rsid w:val="00E815F0"/>
    <w:pPr>
      <w:spacing w:before="240"/>
    </w:pPr>
    <w:rPr>
      <w:rFonts w:ascii="Times New Roman" w:hAnsi="Times New Roman"/>
      <w:smallCaps/>
      <w:spacing w:val="80"/>
      <w:sz w:val="28"/>
    </w:rPr>
  </w:style>
  <w:style w:type="paragraph" w:customStyle="1" w:styleId="InChapter">
    <w:name w:val="InChapter"/>
    <w:basedOn w:val="Heading3"/>
    <w:rsid w:val="00E815F0"/>
    <w:pPr>
      <w:spacing w:after="240"/>
      <w:outlineLvl w:val="9"/>
    </w:pPr>
    <w:rPr>
      <w:noProof/>
    </w:rPr>
  </w:style>
  <w:style w:type="paragraph" w:styleId="Index2">
    <w:name w:val="index 2"/>
    <w:basedOn w:val="Normal"/>
    <w:next w:val="Normal"/>
    <w:semiHidden/>
    <w:rsid w:val="00E815F0"/>
    <w:pPr>
      <w:tabs>
        <w:tab w:val="right" w:pos="4176"/>
      </w:tabs>
      <w:ind w:left="568" w:hanging="284"/>
    </w:pPr>
    <w:rPr>
      <w:rFonts w:ascii="Garamond" w:hAnsi="Garamond"/>
    </w:rPr>
  </w:style>
  <w:style w:type="paragraph" w:customStyle="1" w:styleId="Byline">
    <w:name w:val="Byline"/>
    <w:rsid w:val="00E815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15F0"/>
    <w:pPr>
      <w:tabs>
        <w:tab w:val="clear" w:pos="3600"/>
        <w:tab w:val="clear" w:pos="3958"/>
      </w:tabs>
      <w:jc w:val="right"/>
    </w:pPr>
  </w:style>
  <w:style w:type="character" w:styleId="Emphasis">
    <w:name w:val="Emphasis"/>
    <w:basedOn w:val="DefaultParagraphFont"/>
    <w:qFormat/>
    <w:rsid w:val="00E815F0"/>
    <w:rPr>
      <w:i/>
    </w:rPr>
  </w:style>
  <w:style w:type="paragraph" w:styleId="Caption">
    <w:name w:val="caption"/>
    <w:basedOn w:val="BodyText"/>
    <w:next w:val="Normal"/>
    <w:qFormat/>
    <w:rsid w:val="00E815F0"/>
    <w:pPr>
      <w:framePr w:w="2268" w:hSpace="181" w:vSpace="181" w:wrap="around" w:vAnchor="text" w:hAnchor="page" w:x="1135" w:y="285" w:anchorLock="1"/>
    </w:pPr>
    <w:rPr>
      <w:i/>
    </w:rPr>
  </w:style>
  <w:style w:type="paragraph" w:customStyle="1" w:styleId="MiniTOCTitle">
    <w:name w:val="MiniTOCTitle"/>
    <w:basedOn w:val="Heading4"/>
    <w:rsid w:val="00E815F0"/>
    <w:pPr>
      <w:spacing w:before="240"/>
      <w:outlineLvl w:val="9"/>
    </w:pPr>
    <w:rPr>
      <w:noProof/>
      <w:sz w:val="24"/>
    </w:rPr>
  </w:style>
  <w:style w:type="paragraph" w:customStyle="1" w:styleId="MiniTOCItem">
    <w:name w:val="MiniTOCItem"/>
    <w:basedOn w:val="ListBullet"/>
    <w:rsid w:val="00E815F0"/>
    <w:pPr>
      <w:numPr>
        <w:numId w:val="0"/>
      </w:numPr>
      <w:tabs>
        <w:tab w:val="right" w:leader="dot" w:pos="6521"/>
      </w:tabs>
      <w:spacing w:before="0" w:after="0"/>
    </w:pPr>
  </w:style>
  <w:style w:type="paragraph" w:customStyle="1" w:styleId="TOFTitle">
    <w:name w:val="TOFTitle"/>
    <w:basedOn w:val="TOCTitle"/>
    <w:rsid w:val="00E815F0"/>
  </w:style>
  <w:style w:type="paragraph" w:styleId="TableofFigures">
    <w:name w:val="table of figures"/>
    <w:basedOn w:val="Normal"/>
    <w:next w:val="Normal"/>
    <w:semiHidden/>
    <w:rsid w:val="00E815F0"/>
    <w:pPr>
      <w:tabs>
        <w:tab w:val="right" w:leader="dot" w:pos="9072"/>
      </w:tabs>
      <w:ind w:left="970" w:hanging="403"/>
    </w:pPr>
    <w:rPr>
      <w:rFonts w:ascii="Times New Roman" w:hAnsi="Times New Roman"/>
      <w:b/>
    </w:rPr>
  </w:style>
  <w:style w:type="paragraph" w:styleId="ListNumber">
    <w:name w:val="List Number"/>
    <w:basedOn w:val="List"/>
    <w:rsid w:val="00E815F0"/>
    <w:pPr>
      <w:numPr>
        <w:numId w:val="15"/>
      </w:numPr>
      <w:tabs>
        <w:tab w:val="clear" w:pos="340"/>
      </w:tabs>
    </w:pPr>
  </w:style>
  <w:style w:type="character" w:customStyle="1" w:styleId="WingdingSymbols">
    <w:name w:val="Wingding Symbols"/>
    <w:rsid w:val="00E815F0"/>
    <w:rPr>
      <w:rFonts w:ascii="Wingdings" w:hAnsi="Wingdings"/>
    </w:rPr>
  </w:style>
  <w:style w:type="paragraph" w:customStyle="1" w:styleId="TableHeading">
    <w:name w:val="Table Heading"/>
    <w:basedOn w:val="HeadingBase"/>
    <w:rsid w:val="00E815F0"/>
    <w:pPr>
      <w:keepLines/>
      <w:pBdr>
        <w:bottom w:val="single" w:sz="6" w:space="1" w:color="918585"/>
      </w:pBdr>
      <w:spacing w:before="240"/>
    </w:pPr>
  </w:style>
  <w:style w:type="character" w:customStyle="1" w:styleId="HotSpot">
    <w:name w:val="HotSpot"/>
    <w:rsid w:val="00E815F0"/>
    <w:rPr>
      <w:color w:val="0033CC"/>
      <w:u w:val="none"/>
    </w:rPr>
  </w:style>
  <w:style w:type="paragraph" w:customStyle="1" w:styleId="BodyTextRight">
    <w:name w:val="Body Text Right"/>
    <w:basedOn w:val="BodyText"/>
    <w:rsid w:val="00E815F0"/>
    <w:pPr>
      <w:spacing w:before="0" w:after="0"/>
      <w:jc w:val="right"/>
    </w:pPr>
  </w:style>
  <w:style w:type="paragraph" w:styleId="Index3">
    <w:name w:val="index 3"/>
    <w:basedOn w:val="ListNumber2"/>
    <w:next w:val="Normal"/>
    <w:semiHidden/>
    <w:rsid w:val="00E815F0"/>
    <w:pPr>
      <w:numPr>
        <w:numId w:val="0"/>
      </w:numPr>
      <w:tabs>
        <w:tab w:val="right" w:leader="dot" w:pos="4176"/>
      </w:tabs>
    </w:pPr>
  </w:style>
  <w:style w:type="paragraph" w:styleId="ListNumber2">
    <w:name w:val="List Number 2"/>
    <w:basedOn w:val="List2"/>
    <w:rsid w:val="00E815F0"/>
    <w:pPr>
      <w:numPr>
        <w:numId w:val="10"/>
      </w:numPr>
      <w:tabs>
        <w:tab w:val="clear" w:pos="1060"/>
      </w:tabs>
    </w:pPr>
  </w:style>
  <w:style w:type="paragraph" w:customStyle="1" w:styleId="MarginNote">
    <w:name w:val="Margin Note"/>
    <w:basedOn w:val="BodyText"/>
    <w:rsid w:val="00E815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15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15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15F0"/>
    <w:rPr>
      <w:sz w:val="32"/>
    </w:rPr>
  </w:style>
  <w:style w:type="paragraph" w:customStyle="1" w:styleId="HeadingProcedure">
    <w:name w:val="Heading Procedure"/>
    <w:basedOn w:val="HeadingBase"/>
    <w:next w:val="Normal"/>
    <w:rsid w:val="00E815F0"/>
    <w:pPr>
      <w:tabs>
        <w:tab w:val="left" w:pos="0"/>
      </w:tabs>
      <w:spacing w:before="120" w:after="60"/>
    </w:pPr>
    <w:rPr>
      <w:i/>
      <w:color w:val="918585"/>
      <w:sz w:val="22"/>
    </w:rPr>
  </w:style>
  <w:style w:type="paragraph" w:customStyle="1" w:styleId="TableBodyText">
    <w:name w:val="Table Body Text"/>
    <w:basedOn w:val="BodyText"/>
    <w:rsid w:val="00E815F0"/>
    <w:pPr>
      <w:spacing w:before="60" w:after="60"/>
    </w:pPr>
  </w:style>
  <w:style w:type="paragraph" w:styleId="ListContinue">
    <w:name w:val="List Continue"/>
    <w:basedOn w:val="List"/>
    <w:rsid w:val="00E815F0"/>
    <w:pPr>
      <w:ind w:firstLine="0"/>
    </w:pPr>
  </w:style>
  <w:style w:type="paragraph" w:customStyle="1" w:styleId="ListNote">
    <w:name w:val="List Note"/>
    <w:basedOn w:val="List"/>
    <w:rsid w:val="00E815F0"/>
    <w:pPr>
      <w:pBdr>
        <w:top w:val="single" w:sz="6" w:space="2" w:color="918585"/>
        <w:bottom w:val="single" w:sz="6" w:space="2" w:color="918585"/>
      </w:pBdr>
      <w:tabs>
        <w:tab w:val="left" w:pos="1021"/>
      </w:tabs>
      <w:ind w:firstLine="0"/>
    </w:pPr>
  </w:style>
  <w:style w:type="paragraph" w:customStyle="1" w:styleId="Warning">
    <w:name w:val="Warning"/>
    <w:basedOn w:val="BodyText"/>
    <w:rsid w:val="00E815F0"/>
    <w:pPr>
      <w:shd w:val="clear" w:color="auto" w:fill="D9D9D9"/>
      <w:tabs>
        <w:tab w:val="left" w:pos="992"/>
      </w:tabs>
      <w:ind w:left="119" w:right="119"/>
    </w:pPr>
    <w:rPr>
      <w:sz w:val="20"/>
    </w:rPr>
  </w:style>
  <w:style w:type="paragraph" w:customStyle="1" w:styleId="MarginIcons">
    <w:name w:val="Margin Icons"/>
    <w:basedOn w:val="BodyText"/>
    <w:rsid w:val="00E815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15F0"/>
    <w:rPr>
      <w:rFonts w:ascii="Courier New" w:hAnsi="Courier New"/>
    </w:rPr>
  </w:style>
  <w:style w:type="paragraph" w:customStyle="1" w:styleId="NoteBullet">
    <w:name w:val="Note Bullet"/>
    <w:basedOn w:val="Note"/>
    <w:rsid w:val="00E815F0"/>
    <w:pPr>
      <w:tabs>
        <w:tab w:val="clear" w:pos="680"/>
      </w:tabs>
      <w:spacing w:before="60" w:after="60"/>
    </w:pPr>
  </w:style>
  <w:style w:type="paragraph" w:customStyle="1" w:styleId="SubHeading2">
    <w:name w:val="SubHeading2"/>
    <w:basedOn w:val="HeadingBase"/>
    <w:rsid w:val="00E815F0"/>
    <w:pPr>
      <w:spacing w:before="240" w:after="60"/>
    </w:pPr>
    <w:rPr>
      <w:sz w:val="20"/>
    </w:rPr>
  </w:style>
  <w:style w:type="paragraph" w:customStyle="1" w:styleId="SubHeading1">
    <w:name w:val="SubHeading1"/>
    <w:basedOn w:val="HeadingBase"/>
    <w:rsid w:val="00E815F0"/>
    <w:pPr>
      <w:spacing w:before="240" w:after="60"/>
    </w:pPr>
    <w:rPr>
      <w:color w:val="918585"/>
      <w:sz w:val="22"/>
    </w:rPr>
  </w:style>
  <w:style w:type="paragraph" w:customStyle="1" w:styleId="SideHeading">
    <w:name w:val="Side Heading"/>
    <w:basedOn w:val="HeadingBase"/>
    <w:rsid w:val="00E815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15F0"/>
    <w:pPr>
      <w:tabs>
        <w:tab w:val="num" w:pos="360"/>
      </w:tabs>
    </w:pPr>
  </w:style>
  <w:style w:type="paragraph" w:styleId="PlainText">
    <w:name w:val="Plain Text"/>
    <w:basedOn w:val="Normal"/>
    <w:link w:val="PlainTextChar"/>
    <w:rsid w:val="00E815F0"/>
    <w:rPr>
      <w:sz w:val="20"/>
    </w:rPr>
  </w:style>
  <w:style w:type="character" w:customStyle="1" w:styleId="PlainTextChar">
    <w:name w:val="Plain Text Char"/>
    <w:basedOn w:val="DefaultParagraphFont"/>
    <w:link w:val="PlainText"/>
    <w:rsid w:val="00E815F0"/>
    <w:rPr>
      <w:rFonts w:ascii="Courier New" w:eastAsia="Times New Roman" w:hAnsi="Courier New" w:cs="Times New Roman"/>
      <w:sz w:val="20"/>
      <w:szCs w:val="20"/>
      <w:lang w:eastAsia="en-US"/>
    </w:rPr>
  </w:style>
  <w:style w:type="character" w:customStyle="1" w:styleId="MenuOption">
    <w:name w:val="Menu Option"/>
    <w:basedOn w:val="DefaultParagraphFont"/>
    <w:rsid w:val="00E815F0"/>
    <w:rPr>
      <w:b/>
      <w:smallCaps/>
    </w:rPr>
  </w:style>
  <w:style w:type="paragraph" w:customStyle="1" w:styleId="TableListNumber">
    <w:name w:val="Table List Number"/>
    <w:basedOn w:val="ListNumber"/>
    <w:rsid w:val="00E815F0"/>
    <w:pPr>
      <w:numPr>
        <w:numId w:val="0"/>
      </w:numPr>
    </w:pPr>
  </w:style>
  <w:style w:type="paragraph" w:styleId="TOC4">
    <w:name w:val="toc 4"/>
    <w:basedOn w:val="TOCBase"/>
    <w:next w:val="Normal"/>
    <w:semiHidden/>
    <w:rsid w:val="00E815F0"/>
    <w:pPr>
      <w:tabs>
        <w:tab w:val="right" w:leader="dot" w:pos="9071"/>
      </w:tabs>
      <w:ind w:left="1701"/>
    </w:pPr>
  </w:style>
  <w:style w:type="paragraph" w:customStyle="1" w:styleId="ListAlpha">
    <w:name w:val="List Alpha"/>
    <w:basedOn w:val="List"/>
    <w:rsid w:val="00E815F0"/>
    <w:pPr>
      <w:numPr>
        <w:numId w:val="9"/>
      </w:numPr>
    </w:pPr>
  </w:style>
  <w:style w:type="paragraph" w:customStyle="1" w:styleId="ListAlpha2">
    <w:name w:val="List Alpha 2"/>
    <w:basedOn w:val="List2"/>
    <w:rsid w:val="00E815F0"/>
    <w:pPr>
      <w:numPr>
        <w:numId w:val="8"/>
      </w:numPr>
    </w:pPr>
  </w:style>
  <w:style w:type="paragraph" w:styleId="List2">
    <w:name w:val="List 2"/>
    <w:basedOn w:val="BodyText"/>
    <w:rsid w:val="00E815F0"/>
    <w:pPr>
      <w:tabs>
        <w:tab w:val="left" w:pos="680"/>
      </w:tabs>
      <w:spacing w:before="60" w:after="60"/>
      <w:ind w:left="680" w:hanging="340"/>
    </w:pPr>
  </w:style>
  <w:style w:type="paragraph" w:styleId="List3">
    <w:name w:val="List 3"/>
    <w:basedOn w:val="BodyText"/>
    <w:rsid w:val="00E815F0"/>
    <w:pPr>
      <w:tabs>
        <w:tab w:val="left" w:pos="1021"/>
      </w:tabs>
      <w:spacing w:before="60" w:after="60"/>
      <w:ind w:left="1020" w:hanging="340"/>
    </w:pPr>
  </w:style>
  <w:style w:type="paragraph" w:styleId="List4">
    <w:name w:val="List 4"/>
    <w:basedOn w:val="BodyText"/>
    <w:rsid w:val="00E815F0"/>
    <w:pPr>
      <w:tabs>
        <w:tab w:val="left" w:pos="1361"/>
      </w:tabs>
      <w:spacing w:before="60" w:after="60"/>
      <w:ind w:left="1361" w:hanging="340"/>
    </w:pPr>
  </w:style>
  <w:style w:type="paragraph" w:styleId="List5">
    <w:name w:val="List 5"/>
    <w:basedOn w:val="BodyText"/>
    <w:rsid w:val="00E815F0"/>
    <w:pPr>
      <w:tabs>
        <w:tab w:val="left" w:pos="1701"/>
      </w:tabs>
      <w:spacing w:before="60" w:after="60"/>
      <w:ind w:left="1701" w:hanging="340"/>
    </w:pPr>
  </w:style>
  <w:style w:type="paragraph" w:styleId="ListBullet3">
    <w:name w:val="List Bullet 3"/>
    <w:basedOn w:val="List3"/>
    <w:rsid w:val="00E815F0"/>
    <w:pPr>
      <w:numPr>
        <w:numId w:val="14"/>
      </w:numPr>
      <w:tabs>
        <w:tab w:val="clear" w:pos="1021"/>
      </w:tabs>
      <w:ind w:left="1037" w:hanging="357"/>
    </w:pPr>
  </w:style>
  <w:style w:type="paragraph" w:styleId="ListBullet4">
    <w:name w:val="List Bullet 4"/>
    <w:basedOn w:val="List4"/>
    <w:rsid w:val="00E815F0"/>
    <w:pPr>
      <w:numPr>
        <w:numId w:val="3"/>
      </w:numPr>
      <w:tabs>
        <w:tab w:val="clear" w:pos="1361"/>
      </w:tabs>
    </w:pPr>
  </w:style>
  <w:style w:type="paragraph" w:styleId="ListBullet5">
    <w:name w:val="List Bullet 5"/>
    <w:basedOn w:val="List5"/>
    <w:rsid w:val="00E815F0"/>
    <w:pPr>
      <w:numPr>
        <w:numId w:val="4"/>
      </w:numPr>
    </w:pPr>
  </w:style>
  <w:style w:type="paragraph" w:styleId="ListContinue2">
    <w:name w:val="List Continue 2"/>
    <w:basedOn w:val="List2"/>
    <w:rsid w:val="00E815F0"/>
    <w:pPr>
      <w:ind w:firstLine="0"/>
    </w:pPr>
  </w:style>
  <w:style w:type="paragraph" w:styleId="ListContinue3">
    <w:name w:val="List Continue 3"/>
    <w:basedOn w:val="List3"/>
    <w:rsid w:val="00E815F0"/>
    <w:pPr>
      <w:ind w:left="1021" w:firstLine="0"/>
    </w:pPr>
  </w:style>
  <w:style w:type="paragraph" w:styleId="ListContinue4">
    <w:name w:val="List Continue 4"/>
    <w:basedOn w:val="List4"/>
    <w:rsid w:val="00E815F0"/>
    <w:pPr>
      <w:ind w:firstLine="0"/>
    </w:pPr>
  </w:style>
  <w:style w:type="paragraph" w:styleId="ListContinue5">
    <w:name w:val="List Continue 5"/>
    <w:basedOn w:val="List5"/>
    <w:rsid w:val="00E815F0"/>
    <w:pPr>
      <w:ind w:firstLine="0"/>
    </w:pPr>
  </w:style>
  <w:style w:type="paragraph" w:styleId="ListNumber3">
    <w:name w:val="List Number 3"/>
    <w:basedOn w:val="List3"/>
    <w:rsid w:val="00E815F0"/>
    <w:pPr>
      <w:numPr>
        <w:numId w:val="5"/>
      </w:numPr>
    </w:pPr>
  </w:style>
  <w:style w:type="paragraph" w:styleId="ListNumber4">
    <w:name w:val="List Number 4"/>
    <w:basedOn w:val="List4"/>
    <w:rsid w:val="00E815F0"/>
    <w:pPr>
      <w:numPr>
        <w:numId w:val="6"/>
      </w:numPr>
    </w:pPr>
  </w:style>
  <w:style w:type="paragraph" w:styleId="ListNumber5">
    <w:name w:val="List Number 5"/>
    <w:basedOn w:val="List5"/>
    <w:rsid w:val="00E815F0"/>
    <w:pPr>
      <w:numPr>
        <w:numId w:val="7"/>
      </w:numPr>
    </w:pPr>
  </w:style>
  <w:style w:type="paragraph" w:styleId="BlockText">
    <w:name w:val="Block Text"/>
    <w:basedOn w:val="Normal"/>
    <w:rsid w:val="00E815F0"/>
    <w:pPr>
      <w:spacing w:after="120"/>
      <w:ind w:left="1440" w:right="1440"/>
    </w:pPr>
  </w:style>
  <w:style w:type="character" w:customStyle="1" w:styleId="Subscript">
    <w:name w:val="Subscript"/>
    <w:basedOn w:val="DefaultParagraphFont"/>
    <w:rsid w:val="00E815F0"/>
    <w:rPr>
      <w:sz w:val="16"/>
      <w:vertAlign w:val="subscript"/>
    </w:rPr>
  </w:style>
  <w:style w:type="character" w:customStyle="1" w:styleId="Superscript">
    <w:name w:val="Superscript"/>
    <w:basedOn w:val="DefaultParagraphFont"/>
    <w:rsid w:val="00E815F0"/>
    <w:rPr>
      <w:sz w:val="16"/>
      <w:vertAlign w:val="superscript"/>
    </w:rPr>
  </w:style>
  <w:style w:type="character" w:customStyle="1" w:styleId="Symbols">
    <w:name w:val="Symbols"/>
    <w:basedOn w:val="DefaultParagraphFont"/>
    <w:rsid w:val="00E815F0"/>
    <w:rPr>
      <w:rFonts w:ascii="Symbol" w:hAnsi="Symbol"/>
    </w:rPr>
  </w:style>
  <w:style w:type="character" w:customStyle="1" w:styleId="MenuOptions">
    <w:name w:val="Menu Options"/>
    <w:basedOn w:val="DefaultParagraphFont"/>
    <w:rsid w:val="00E815F0"/>
    <w:rPr>
      <w:rFonts w:ascii="Arial Narrow" w:hAnsi="Arial Narrow"/>
      <w:smallCaps/>
    </w:rPr>
  </w:style>
  <w:style w:type="character" w:customStyle="1" w:styleId="Buttons">
    <w:name w:val="Buttons"/>
    <w:basedOn w:val="DefaultParagraphFont"/>
    <w:rsid w:val="00E815F0"/>
    <w:rPr>
      <w:b/>
    </w:rPr>
  </w:style>
  <w:style w:type="character" w:customStyle="1" w:styleId="Underlined">
    <w:name w:val="Underlined"/>
    <w:basedOn w:val="DefaultParagraphFont"/>
    <w:rsid w:val="00E815F0"/>
    <w:rPr>
      <w:u w:val="single"/>
    </w:rPr>
  </w:style>
  <w:style w:type="paragraph" w:customStyle="1" w:styleId="TableBodyTextRight">
    <w:name w:val="Table Body Text Right"/>
    <w:basedOn w:val="TableBodyText"/>
    <w:rsid w:val="00E815F0"/>
    <w:pPr>
      <w:widowControl w:val="0"/>
      <w:autoSpaceDE w:val="0"/>
      <w:autoSpaceDN w:val="0"/>
      <w:adjustRightInd w:val="0"/>
      <w:jc w:val="right"/>
    </w:pPr>
    <w:rPr>
      <w:rFonts w:cs="Arial"/>
      <w:szCs w:val="18"/>
    </w:rPr>
  </w:style>
  <w:style w:type="paragraph" w:customStyle="1" w:styleId="CopyrightText">
    <w:name w:val="Copyright Text"/>
    <w:basedOn w:val="BodyText"/>
    <w:rsid w:val="00E815F0"/>
    <w:rPr>
      <w:sz w:val="18"/>
    </w:rPr>
  </w:style>
  <w:style w:type="paragraph" w:customStyle="1" w:styleId="BodySmallRight">
    <w:name w:val="Body Small Right"/>
    <w:basedOn w:val="BodyTextRight"/>
    <w:rsid w:val="00E815F0"/>
    <w:rPr>
      <w:sz w:val="18"/>
      <w:szCs w:val="18"/>
    </w:rPr>
  </w:style>
  <w:style w:type="paragraph" w:customStyle="1" w:styleId="MarginEdition">
    <w:name w:val="Margin Edition"/>
    <w:basedOn w:val="MarginNote"/>
    <w:rsid w:val="00E815F0"/>
    <w:pPr>
      <w:spacing w:before="0" w:after="0"/>
    </w:pPr>
    <w:rPr>
      <w:rFonts w:ascii="Times New Roman" w:hAnsi="Times New Roman"/>
      <w:color w:val="999999"/>
    </w:rPr>
  </w:style>
  <w:style w:type="paragraph" w:customStyle="1" w:styleId="Spacer">
    <w:name w:val="Spacer"/>
    <w:basedOn w:val="Normal"/>
    <w:rsid w:val="00E815F0"/>
    <w:rPr>
      <w:sz w:val="2"/>
      <w:szCs w:val="2"/>
    </w:rPr>
  </w:style>
  <w:style w:type="character" w:customStyle="1" w:styleId="Small">
    <w:name w:val="Small"/>
    <w:basedOn w:val="DefaultParagraphFont"/>
    <w:rsid w:val="00E815F0"/>
    <w:rPr>
      <w:sz w:val="16"/>
    </w:rPr>
  </w:style>
  <w:style w:type="paragraph" w:customStyle="1" w:styleId="WideTable">
    <w:name w:val="Wide Table"/>
    <w:basedOn w:val="Normal"/>
    <w:rsid w:val="00E815F0"/>
    <w:pPr>
      <w:ind w:left="-1418"/>
    </w:pPr>
    <w:rPr>
      <w:sz w:val="2"/>
      <w:szCs w:val="2"/>
    </w:rPr>
  </w:style>
  <w:style w:type="character" w:styleId="PageNumber">
    <w:name w:val="page number"/>
    <w:basedOn w:val="DefaultParagraphFont"/>
    <w:rsid w:val="00E815F0"/>
  </w:style>
  <w:style w:type="paragraph" w:styleId="Quote">
    <w:name w:val="Quote"/>
    <w:basedOn w:val="Heading1"/>
    <w:link w:val="QuoteChar"/>
    <w:qFormat/>
    <w:rsid w:val="00E815F0"/>
    <w:rPr>
      <w:b w:val="0"/>
      <w:sz w:val="72"/>
      <w:szCs w:val="72"/>
      <w:lang w:val="en-NZ"/>
    </w:rPr>
  </w:style>
  <w:style w:type="character" w:customStyle="1" w:styleId="QuoteChar">
    <w:name w:val="Quote Char"/>
    <w:basedOn w:val="DefaultParagraphFont"/>
    <w:link w:val="Quote"/>
    <w:rsid w:val="00E815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15F0"/>
    <w:pPr>
      <w:pageBreakBefore/>
    </w:pPr>
  </w:style>
  <w:style w:type="paragraph" w:customStyle="1" w:styleId="Border">
    <w:name w:val="Border"/>
    <w:basedOn w:val="Normal"/>
    <w:qFormat/>
    <w:rsid w:val="00E815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15F0"/>
    <w:rPr>
      <w:b/>
      <w:bCs/>
      <w:i/>
      <w:iCs/>
      <w:color w:val="auto"/>
    </w:rPr>
  </w:style>
  <w:style w:type="paragraph" w:styleId="IntenseQuote">
    <w:name w:val="Intense Quote"/>
    <w:basedOn w:val="Normal"/>
    <w:next w:val="Normal"/>
    <w:link w:val="IntenseQuoteChar"/>
    <w:uiPriority w:val="30"/>
    <w:qFormat/>
    <w:rsid w:val="00E815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15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15F0"/>
    <w:rPr>
      <w:smallCaps/>
      <w:color w:val="auto"/>
      <w:u w:val="single"/>
    </w:rPr>
  </w:style>
  <w:style w:type="character" w:styleId="IntenseReference">
    <w:name w:val="Intense Reference"/>
    <w:basedOn w:val="DefaultParagraphFont"/>
    <w:uiPriority w:val="32"/>
    <w:qFormat/>
    <w:rsid w:val="00E815F0"/>
    <w:rPr>
      <w:b/>
      <w:bCs/>
      <w:smallCaps/>
      <w:color w:val="auto"/>
      <w:spacing w:val="5"/>
      <w:u w:val="single"/>
    </w:rPr>
  </w:style>
  <w:style w:type="paragraph" w:customStyle="1" w:styleId="2ColumnHeading">
    <w:name w:val="2Column Heading"/>
    <w:basedOn w:val="BodyText"/>
    <w:qFormat/>
    <w:rsid w:val="00E815F0"/>
    <w:pPr>
      <w:spacing w:after="60"/>
      <w:ind w:left="-2268"/>
    </w:pPr>
    <w:rPr>
      <w:b/>
    </w:rPr>
  </w:style>
  <w:style w:type="paragraph" w:customStyle="1" w:styleId="Heading1TOC">
    <w:name w:val="Heading1 TOC"/>
    <w:basedOn w:val="Normal"/>
    <w:qFormat/>
    <w:rsid w:val="00E815F0"/>
    <w:pPr>
      <w:spacing w:before="240" w:after="120"/>
    </w:pPr>
    <w:rPr>
      <w:rFonts w:ascii="Times New Roman" w:hAnsi="Times New Roman"/>
      <w:b/>
      <w:sz w:val="32"/>
    </w:rPr>
  </w:style>
  <w:style w:type="paragraph" w:customStyle="1" w:styleId="Heading2TOC">
    <w:name w:val="Heading2 TOC"/>
    <w:basedOn w:val="Normal"/>
    <w:qFormat/>
    <w:rsid w:val="00E815F0"/>
    <w:pPr>
      <w:spacing w:before="240" w:after="60"/>
    </w:pPr>
    <w:rPr>
      <w:rFonts w:ascii="Times New Roman" w:hAnsi="Times New Roman"/>
      <w:b/>
      <w:sz w:val="28"/>
    </w:rPr>
  </w:style>
  <w:style w:type="character" w:customStyle="1" w:styleId="Underline">
    <w:name w:val="Underline"/>
    <w:basedOn w:val="DefaultParagraphFont"/>
    <w:qFormat/>
    <w:rsid w:val="00E815F0"/>
    <w:rPr>
      <w:u w:val="single"/>
    </w:rPr>
  </w:style>
  <w:style w:type="character" w:customStyle="1" w:styleId="BoldandItalics">
    <w:name w:val="Bold and Italics"/>
    <w:qFormat/>
    <w:rsid w:val="00E815F0"/>
    <w:rPr>
      <w:b/>
      <w:i/>
      <w:u w:val="none"/>
    </w:rPr>
  </w:style>
  <w:style w:type="paragraph" w:styleId="BalloonText">
    <w:name w:val="Balloon Text"/>
    <w:basedOn w:val="Normal"/>
    <w:link w:val="BalloonTextChar"/>
    <w:rsid w:val="00E815F0"/>
    <w:rPr>
      <w:rFonts w:ascii="Tahoma" w:hAnsi="Tahoma" w:cs="Tahoma"/>
      <w:sz w:val="16"/>
      <w:szCs w:val="16"/>
    </w:rPr>
  </w:style>
  <w:style w:type="character" w:customStyle="1" w:styleId="BalloonTextChar">
    <w:name w:val="Balloon Text Char"/>
    <w:basedOn w:val="DefaultParagraphFont"/>
    <w:link w:val="BalloonText"/>
    <w:rsid w:val="00E815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15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15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15F0"/>
    <w:rPr>
      <w:b/>
      <w:color w:val="660033"/>
      <w:spacing w:val="0"/>
    </w:rPr>
  </w:style>
  <w:style w:type="paragraph" w:customStyle="1" w:styleId="Nameditemlist">
    <w:name w:val="Named item list"/>
    <w:basedOn w:val="BodyText"/>
    <w:qFormat/>
    <w:rsid w:val="00E815F0"/>
    <w:pPr>
      <w:tabs>
        <w:tab w:val="left" w:pos="2835"/>
      </w:tabs>
      <w:ind w:left="2835" w:hanging="2835"/>
    </w:pPr>
  </w:style>
  <w:style w:type="paragraph" w:customStyle="1" w:styleId="BodyTextnopadding">
    <w:name w:val="Body Text no padding"/>
    <w:basedOn w:val="BodyText"/>
    <w:qFormat/>
    <w:rsid w:val="00E815F0"/>
    <w:pPr>
      <w:spacing w:before="0" w:after="0"/>
    </w:pPr>
  </w:style>
  <w:style w:type="paragraph" w:customStyle="1" w:styleId="BodyTextBold">
    <w:name w:val="Body Text Bold"/>
    <w:basedOn w:val="BodyText"/>
    <w:qFormat/>
    <w:rsid w:val="00E815F0"/>
    <w:rPr>
      <w:b/>
    </w:rPr>
  </w:style>
  <w:style w:type="character" w:styleId="Hyperlink">
    <w:name w:val="Hyperlink"/>
    <w:basedOn w:val="DefaultParagraphFont"/>
    <w:uiPriority w:val="99"/>
    <w:unhideWhenUsed/>
    <w:rsid w:val="00BA55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931</Words>
  <Characters>5785</Characters>
  <Application>Microsoft Office Word</Application>
  <DocSecurity>0</DocSecurity>
  <Lines>262</Lines>
  <Paragraphs>139</Paragraphs>
  <ScaleCrop>false</ScaleCrop>
  <Company>Author-it Software Corporation Ltd.</Company>
  <LinksUpToDate>false</LinksUpToDate>
  <CharactersWithSpaces>6577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TLIX0036 Determine tariff classification of goods</dc:title>
  <dc:subject>Approved</dc:subject>
  <dc:creator>Industry Skills Australia</dc:creator>
  <cp:keywords>Release: 1</cp:keywords>
  <dc:description>Review Date: 12 April 2008</dc:description>
  <cp:lastModifiedBy>HSD_TPCMSd.prod</cp:lastModifiedBy>
  <cp:revision>3</cp:revision>
  <dcterms:created xsi:type="dcterms:W3CDTF">2025-03-01T17:57:00Z</dcterms:created>
  <dcterms:modified xsi:type="dcterms:W3CDTF">2025-03-01T17:57:00Z</dcterms:modified>
</cp:coreProperties>
</file>