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821" w:rsidP="004B1821">
      <w:pPr>
        <w:pStyle w:val="Title"/>
      </w:pPr>
      <w:r>
        <w:fldChar w:fldCharType="begin"/>
      </w:r>
      <w:r>
        <w:instrText xml:space="preserve"> TITLE   \* MERGEFORMAT </w:instrText>
      </w:r>
      <w:r>
        <w:fldChar w:fldCharType="separate"/>
      </w:r>
      <w:r>
        <w:t>TLIX0035 Apply knowledge of border clearance fundamentals</w:t>
      </w:r>
      <w:r>
        <w:fldChar w:fldCharType="end"/>
      </w:r>
    </w:p>
    <w:p w:rsidR="004B1821" w:rsidP="004B1821">
      <w:pPr>
        <w:pStyle w:val="Version"/>
        <w:sectPr w:rsidSect="00624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1EB" w:rsidP="006241EB">
      <w:pPr>
        <w:pStyle w:val="SuperHeading"/>
      </w:pPr>
      <w:r w:rsidRPr="006241EB">
        <w:t>TLIX0035 Apply knowledge of border clearance fundamentals</w:t>
      </w:r>
    </w:p>
    <w:p w:rsidR="00000000" w:rsidRPr="006241EB" w:rsidP="006241EB">
      <w:pPr>
        <w:pStyle w:val="Heading1"/>
      </w:pPr>
      <w:bookmarkStart w:id="1" w:name="O_1232563"/>
      <w:bookmarkEnd w:id="1"/>
      <w:r w:rsidRPr="006241EB">
        <w:t>Modification History</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 xml:space="preserve">Release 1. </w:t>
            </w:r>
            <w:r w:rsidRPr="006241EB">
              <w:t>This is the first release of this unit of competency in the TLI Transport and Logistics Training Package.</w:t>
            </w:r>
          </w:p>
        </w:tc>
      </w:tr>
    </w:tbl>
    <w:p w:rsidR="004B1821" w:rsidP="006241EB">
      <w:pPr>
        <w:pStyle w:val="NoPaddingFontSize1"/>
      </w:pPr>
    </w:p>
    <w:p w:rsidR="004B1821" w:rsidP="006241EB">
      <w:pPr>
        <w:pStyle w:val="NoPaddingFontSize1"/>
      </w:pPr>
    </w:p>
    <w:p w:rsidR="00000000" w:rsidRPr="006241EB" w:rsidP="006241EB">
      <w:pPr>
        <w:pStyle w:val="Heading1"/>
      </w:pPr>
      <w:bookmarkStart w:id="2" w:name="O_1232564"/>
      <w:bookmarkEnd w:id="2"/>
      <w:r w:rsidRPr="006241EB">
        <w:t>Application</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This unit involves the skills and knowledge required as an introdu</w:t>
            </w:r>
            <w:r w:rsidRPr="006241EB">
              <w:t>ction to border clearance.</w:t>
            </w:r>
          </w:p>
          <w:p w:rsidR="00000000" w:rsidRPr="006241EB" w:rsidP="006241EB">
            <w:pPr>
              <w:pStyle w:val="BodyText"/>
            </w:pPr>
            <w:r w:rsidRPr="006241EB">
              <w:t>This unit includes outlining the framework for Australia’s international trade involvement and the structure and effect of Australian legislation in relation to importing and exporting cargo in accordance with legislation in rela</w:t>
            </w:r>
            <w:r w:rsidRPr="006241EB">
              <w:t>tion to border clearance activities. It also includes roles and responsibilities of a licensed customs broker, application of Incoterms to the movement of cargo and documentation and methods of payments used in border clearance.</w:t>
            </w:r>
          </w:p>
          <w:p w:rsidR="00000000" w:rsidRPr="006241EB" w:rsidP="006241EB">
            <w:pPr>
              <w:pStyle w:val="BodyText"/>
            </w:pPr>
            <w:r w:rsidRPr="006241EB">
              <w:t>Work is undertaken in a ran</w:t>
            </w:r>
            <w:r w:rsidRPr="006241EB">
              <w:t>ge of environments, including small to large worksites, in the customs broking and international supply chain industries.</w:t>
            </w:r>
          </w:p>
          <w:p w:rsidR="00000000" w:rsidRPr="006241EB" w:rsidP="006241EB">
            <w:pPr>
              <w:pStyle w:val="BodyText"/>
            </w:pPr>
            <w:r w:rsidRPr="006241EB">
              <w:t>No licensing, legislative or certification requirements apply to this unit at the time of publication.</w:t>
            </w:r>
          </w:p>
        </w:tc>
      </w:tr>
    </w:tbl>
    <w:p w:rsidR="004B1821" w:rsidP="006241EB">
      <w:pPr>
        <w:pStyle w:val="NoPaddingFontSize1"/>
      </w:pPr>
    </w:p>
    <w:p w:rsidR="004B1821" w:rsidP="006241EB">
      <w:pPr>
        <w:pStyle w:val="NoPaddingFontSize1"/>
      </w:pPr>
    </w:p>
    <w:p w:rsidR="00000000" w:rsidRPr="006241EB" w:rsidP="006241EB">
      <w:pPr>
        <w:pStyle w:val="Heading1"/>
      </w:pPr>
      <w:bookmarkStart w:id="3" w:name="O_1232565"/>
      <w:bookmarkEnd w:id="3"/>
      <w:r w:rsidRPr="006241EB">
        <w:t>Pre-requi</w:t>
      </w:r>
      <w:r w:rsidRPr="006241EB">
        <w:t>site Unit</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Not applicable.</w:t>
            </w:r>
          </w:p>
        </w:tc>
      </w:tr>
    </w:tbl>
    <w:p w:rsidR="004B1821" w:rsidP="006241EB">
      <w:pPr>
        <w:pStyle w:val="NoPaddingFontSize1"/>
      </w:pPr>
    </w:p>
    <w:p w:rsidR="004B1821" w:rsidP="006241EB">
      <w:pPr>
        <w:pStyle w:val="NoPaddingFontSize1"/>
      </w:pPr>
    </w:p>
    <w:p w:rsidR="00000000" w:rsidRPr="006241EB" w:rsidP="006241EB">
      <w:pPr>
        <w:pStyle w:val="Heading1"/>
      </w:pPr>
      <w:bookmarkStart w:id="4" w:name="O_1232566"/>
      <w:bookmarkEnd w:id="4"/>
      <w:r w:rsidRPr="006241EB">
        <w:t>Competency Field</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X – Logistics</w:t>
            </w:r>
          </w:p>
        </w:tc>
      </w:tr>
    </w:tbl>
    <w:p w:rsidR="004B1821" w:rsidP="006241EB">
      <w:pPr>
        <w:pStyle w:val="NoPaddingFontSize1"/>
      </w:pPr>
    </w:p>
    <w:p w:rsidR="004B1821" w:rsidP="006241EB">
      <w:pPr>
        <w:pStyle w:val="NoPaddingFontSize1"/>
      </w:pPr>
    </w:p>
    <w:p w:rsidR="00000000" w:rsidRPr="006241EB" w:rsidP="006241EB">
      <w:pPr>
        <w:pStyle w:val="Heading1"/>
      </w:pPr>
      <w:bookmarkStart w:id="5" w:name="O_1232567"/>
      <w:bookmarkEnd w:id="5"/>
      <w:r w:rsidRPr="006241EB">
        <w:t>Unit Sector</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Customs Broking.</w:t>
            </w:r>
          </w:p>
        </w:tc>
      </w:tr>
    </w:tbl>
    <w:p w:rsidR="004B1821" w:rsidP="006241EB">
      <w:pPr>
        <w:pStyle w:val="NoPaddingFontSize1"/>
      </w:pPr>
    </w:p>
    <w:p w:rsidR="004B1821" w:rsidP="006241EB">
      <w:pPr>
        <w:pStyle w:val="NoPaddingFontSize1"/>
      </w:pPr>
    </w:p>
    <w:p w:rsidR="00000000" w:rsidRPr="006241EB" w:rsidP="006241EB">
      <w:pPr>
        <w:pStyle w:val="Heading1"/>
      </w:pPr>
      <w:bookmarkStart w:id="6" w:name="O_1232568"/>
      <w:bookmarkEnd w:id="6"/>
      <w:r w:rsidRPr="006241EB">
        <w:t>Elements and Performance Criteria</w:t>
      </w:r>
    </w:p>
    <w:tbl>
      <w:tblPr>
        <w:tblW w:w="9497" w:type="dxa"/>
        <w:tblLayout w:type="fixed"/>
        <w:tblCellMar>
          <w:left w:w="62" w:type="dxa"/>
          <w:right w:w="62" w:type="dxa"/>
        </w:tblCellMar>
        <w:tblLook w:val="0000"/>
      </w:tblPr>
      <w:tblGrid>
        <w:gridCol w:w="405"/>
        <w:gridCol w:w="2207"/>
        <w:gridCol w:w="686"/>
        <w:gridCol w:w="1298"/>
        <w:gridCol w:w="3603"/>
        <w:gridCol w:w="1298"/>
      </w:tblGrid>
      <w:tr w:rsidTr="006241EB">
        <w:tblPrEx>
          <w:tblW w:w="9497" w:type="dxa"/>
          <w:tblLayout w:type="fixed"/>
          <w:tblCellMar>
            <w:left w:w="62" w:type="dxa"/>
            <w:right w:w="62" w:type="dxa"/>
          </w:tblCellMar>
          <w:tblLook w:val="0000"/>
        </w:tblPrEx>
        <w:tc>
          <w:tcPr>
            <w:tcW w:w="3298" w:type="dxa"/>
            <w:gridSpan w:val="3"/>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ELEMENTS</w:t>
            </w:r>
          </w:p>
        </w:tc>
        <w:tc>
          <w:tcPr>
            <w:tcW w:w="6199" w:type="dxa"/>
            <w:gridSpan w:val="3"/>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PERFORMANCE CRITERIA</w:t>
            </w:r>
          </w:p>
        </w:tc>
      </w:tr>
      <w:tr w:rsidTr="006241EB">
        <w:tblPrEx>
          <w:tblW w:w="9497" w:type="dxa"/>
          <w:tblLayout w:type="fixed"/>
          <w:tblCellMar>
            <w:left w:w="62" w:type="dxa"/>
            <w:right w:w="62" w:type="dxa"/>
          </w:tblCellMar>
          <w:tblLook w:val="0000"/>
        </w:tblPrEx>
        <w:tc>
          <w:tcPr>
            <w:tcW w:w="3298" w:type="dxa"/>
            <w:gridSpan w:val="3"/>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Elements describe the essential outcomes.</w:t>
            </w:r>
          </w:p>
        </w:tc>
        <w:tc>
          <w:tcPr>
            <w:tcW w:w="6199" w:type="dxa"/>
            <w:gridSpan w:val="3"/>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Performance criteria describe the performance needed to demonstrate achievement of the element.</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1</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 xml:space="preserve">Outline the framework for Australia’s </w:t>
            </w:r>
            <w:r w:rsidRPr="006241EB">
              <w:rPr>
                <w:rStyle w:val="SpecialBold"/>
              </w:rPr>
              <w:t>international trade involvement</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1.1</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 xml:space="preserve">Australia’s role and involvement in </w:t>
            </w:r>
            <w:r w:rsidRPr="006241EB">
              <w:t xml:space="preserve">international trade in relation to border clearance of cargo is </w:t>
            </w:r>
            <w:r w:rsidRPr="006241EB">
              <w:t>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1.2</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Role and function of World Trade Organization (WTO) is explained in accordance with relevant Agreements</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1.3</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Role and function of World Customs Organization (WCO) is explained in accordance with relevant Agreements</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1.4</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Role and function of international conventions and treaties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1.5</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Tariff and non-tariff barriers to trade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1.6</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Domestic implementation in Australia of sources of international law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2</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Outline the structure and effect of Australian legislation in relation to importing and exporting cargo</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2.1</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Role of Acts and regulations within the national context of</w:t>
            </w:r>
            <w:r w:rsidRPr="006241EB">
              <w:t xml:space="preserve"> importing and exporting cargo is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2.2</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Australia</w:t>
            </w:r>
            <w:r>
              <w:t>’</w:t>
            </w:r>
            <w:r w:rsidRPr="006241EB">
              <w:t xml:space="preserve">s adoption of international conventions and treaties for importing and exporting cargo is explained </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3</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Outline the structure and effect of Australian legislation in relation to b</w:t>
            </w:r>
            <w:r w:rsidRPr="006241EB">
              <w:rPr>
                <w:rStyle w:val="SpecialBold"/>
              </w:rPr>
              <w:t>order clearance activities</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3.1</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Authority and function of the Australian Government and its officers under border control legislation is reviewed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3.2</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Powers of the regulatory authority and their officers are reviewed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3.3</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Responsibilities and obliga</w:t>
            </w:r>
            <w:r w:rsidRPr="006241EB">
              <w:t xml:space="preserve">tions of a licensed customs broker under </w:t>
            </w:r>
            <w:r w:rsidRPr="006241EB">
              <w:t>border control legislation are reviewed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3.4</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Ethical practices of a licensed customs broker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3.5</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Australian Trusted Trader program is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4</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Identify r</w:t>
            </w:r>
            <w:r w:rsidRPr="006241EB">
              <w:rPr>
                <w:rStyle w:val="SpecialBold"/>
              </w:rPr>
              <w:t>ole and responsibilities of a licensed customs broker</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4.1</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Process of obtaining a customs broker</w:t>
            </w:r>
            <w:r>
              <w:t>’</w:t>
            </w:r>
            <w:r w:rsidRPr="006241EB">
              <w:t>s licence under Customs Act is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4.2</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Types of customs broker</w:t>
            </w:r>
            <w:r>
              <w:t>’</w:t>
            </w:r>
            <w:r w:rsidRPr="006241EB">
              <w:t>s licence and conditions is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5</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Apply Incoterms to the movement of cargo</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5.1</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Purpose and different types of Incoterms are interpreted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5.2</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Responsibilities, obligations and risks to the parties under Incoterms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5.3</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Incoterms are applied as required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6</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Identify documentation used in border clearance</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6.1</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Required documentation is identified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6.2</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Documentation meeting clearance requirements is confirmed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6.3</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Commercial documents matching transport documents is confirmed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7</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Identify methods of payment</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7.1</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Methods of payment for international trade are identified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7.2</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Parties involved in international trade and international movement of cargo are identified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8</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Manage information</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8.1</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Requirements for the retention of documents and electronic data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8.2</w:t>
            </w:r>
          </w:p>
        </w:tc>
        <w:tc>
          <w:tcPr>
            <w:tcW w:w="3603" w:type="dxa"/>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t>Retention of communications is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9</w:t>
            </w:r>
          </w:p>
        </w:tc>
        <w:tc>
          <w:tcPr>
            <w:tcW w:w="220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rPr>
                <w:rStyle w:val="SpecialBold"/>
              </w:rPr>
              <w:t>Identify</w:t>
            </w:r>
            <w:r w:rsidRPr="006241EB">
              <w:t xml:space="preserve"> </w:t>
            </w:r>
            <w:r w:rsidRPr="006241EB">
              <w:rPr>
                <w:rStyle w:val="SpecialBold"/>
              </w:rPr>
              <w:t>insurance options</w:t>
            </w: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9.1</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Marine insurance options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9.2</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Concepts of general average and force majeure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9.3</w:t>
            </w:r>
          </w:p>
        </w:tc>
        <w:tc>
          <w:tcPr>
            <w:tcW w:w="3603" w:type="dxa"/>
            <w:tcBorders>
              <w:top w:val="nil"/>
              <w:left w:val="nil"/>
              <w:bottom w:val="nil"/>
              <w:right w:val="nil"/>
            </w:tcBorders>
            <w:tcMar>
              <w:top w:w="0" w:type="dxa"/>
              <w:left w:w="62" w:type="dxa"/>
              <w:bottom w:w="0" w:type="dxa"/>
              <w:right w:w="62" w:type="dxa"/>
            </w:tcMar>
            <w:vAlign w:val="bottom"/>
          </w:tcPr>
          <w:p w:rsidR="00000000" w:rsidP="006241EB">
            <w:pPr>
              <w:pStyle w:val="BodyText"/>
              <w:rPr>
                <w:lang w:val="en-NZ"/>
              </w:rPr>
            </w:pPr>
            <w:r w:rsidRPr="006241EB">
              <w:t>Procedures to handle pillage, damage and/or loss are explained</w:t>
            </w:r>
          </w:p>
        </w:tc>
      </w:tr>
      <w:tr w:rsidTr="006241EB">
        <w:tblPrEx>
          <w:tblW w:w="9497" w:type="dxa"/>
          <w:tblLayout w:type="fixed"/>
          <w:tblCellMar>
            <w:left w:w="62" w:type="dxa"/>
            <w:right w:w="62" w:type="dxa"/>
          </w:tblCellMar>
          <w:tblLook w:val="0000"/>
        </w:tblPrEx>
        <w:trPr>
          <w:gridAfter w:val="1"/>
          <w:wAfter w:w="1298" w:type="dxa"/>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7" w:type="dxa"/>
            <w:tcBorders>
              <w:top w:val="nil"/>
              <w:left w:val="nil"/>
              <w:bottom w:val="nil"/>
              <w:right w:val="nil"/>
            </w:tcBorders>
            <w:tcMar>
              <w:top w:w="0" w:type="dxa"/>
              <w:left w:w="62" w:type="dxa"/>
              <w:bottom w:w="0" w:type="dxa"/>
              <w:right w:w="62" w:type="dxa"/>
            </w:tcMar>
          </w:tcPr>
          <w:p w:rsidR="00000000" w:rsidRPr="006241EB">
            <w:pPr>
              <w:pStyle w:val="BodyText"/>
              <w:keepLines w:val="0"/>
            </w:pPr>
          </w:p>
        </w:tc>
        <w:tc>
          <w:tcPr>
            <w:tcW w:w="1984" w:type="dxa"/>
            <w:gridSpan w:val="2"/>
            <w:tcBorders>
              <w:top w:val="nil"/>
              <w:left w:val="nil"/>
              <w:bottom w:val="nil"/>
              <w:right w:val="nil"/>
            </w:tcBorders>
            <w:tcMar>
              <w:top w:w="0" w:type="dxa"/>
              <w:left w:w="62" w:type="dxa"/>
              <w:bottom w:w="0" w:type="dxa"/>
              <w:right w:w="62" w:type="dxa"/>
            </w:tcMar>
          </w:tcPr>
          <w:p w:rsidR="00000000" w:rsidP="006241EB">
            <w:pPr>
              <w:pStyle w:val="BodyText"/>
              <w:rPr>
                <w:lang w:val="en-NZ"/>
              </w:rPr>
            </w:pPr>
            <w:r w:rsidRPr="006241EB">
              <w:rPr>
                <w:rStyle w:val="SpecialBold"/>
              </w:rPr>
              <w:t>9.4</w:t>
            </w:r>
          </w:p>
        </w:tc>
        <w:tc>
          <w:tcPr>
            <w:tcW w:w="3603" w:type="dxa"/>
            <w:tcBorders>
              <w:top w:val="nil"/>
              <w:left w:val="nil"/>
              <w:bottom w:val="nil"/>
              <w:right w:val="nil"/>
            </w:tcBorders>
            <w:tcMar>
              <w:top w:w="0" w:type="dxa"/>
              <w:left w:w="62" w:type="dxa"/>
              <w:bottom w:w="0" w:type="dxa"/>
              <w:right w:w="62" w:type="dxa"/>
            </w:tcMar>
            <w:vAlign w:val="bottom"/>
          </w:tcPr>
          <w:p w:rsidR="00000000" w:rsidRPr="006241EB" w:rsidP="006241EB">
            <w:pPr>
              <w:pStyle w:val="BodyText"/>
            </w:pPr>
            <w:r w:rsidRPr="006241EB">
              <w:t>Other relevant liability insurance options are explained</w:t>
            </w:r>
          </w:p>
        </w:tc>
      </w:tr>
    </w:tbl>
    <w:p w:rsidR="004B1821" w:rsidP="006241EB">
      <w:pPr>
        <w:pStyle w:val="NoPaddingFontSize1"/>
      </w:pPr>
    </w:p>
    <w:p w:rsidR="004B1821" w:rsidP="006241EB">
      <w:pPr>
        <w:pStyle w:val="NoPaddingFontSize1"/>
      </w:pPr>
    </w:p>
    <w:p w:rsidR="00000000" w:rsidRPr="006241EB" w:rsidP="006241EB">
      <w:pPr>
        <w:pStyle w:val="Heading1"/>
      </w:pPr>
      <w:bookmarkStart w:id="7" w:name="O_1232569"/>
      <w:bookmarkEnd w:id="7"/>
      <w:r w:rsidRPr="006241EB">
        <w:t>Foundation Skills</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Foundation skills essential to performance are explicit in the performance criteria of this unit of competency.</w:t>
            </w:r>
          </w:p>
        </w:tc>
      </w:tr>
    </w:tbl>
    <w:p w:rsidR="004B1821" w:rsidP="006241EB">
      <w:pPr>
        <w:pStyle w:val="NoPaddingFontSize1"/>
      </w:pPr>
    </w:p>
    <w:p w:rsidR="004B1821" w:rsidP="006241EB">
      <w:pPr>
        <w:pStyle w:val="NoPaddingFontSize1"/>
      </w:pPr>
    </w:p>
    <w:p w:rsidR="00000000" w:rsidRPr="006241EB" w:rsidP="006241EB">
      <w:pPr>
        <w:pStyle w:val="Heading1"/>
      </w:pPr>
      <w:bookmarkStart w:id="8" w:name="O_1232570"/>
      <w:bookmarkEnd w:id="8"/>
      <w:r w:rsidRPr="006241EB">
        <w:t>Range of Conditions</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Range is restricted to essential operating conditions and any other variables essential to the work en</w:t>
            </w:r>
            <w:r w:rsidRPr="006241EB">
              <w:t>vironment.</w:t>
            </w:r>
          </w:p>
        </w:tc>
      </w:tr>
    </w:tbl>
    <w:p w:rsidR="004B1821" w:rsidP="006241EB">
      <w:pPr>
        <w:pStyle w:val="NoPaddingFontSize1"/>
      </w:pPr>
    </w:p>
    <w:p w:rsidR="004B1821" w:rsidP="006241EB">
      <w:pPr>
        <w:pStyle w:val="NoPaddingFontSize1"/>
      </w:pPr>
    </w:p>
    <w:p w:rsidR="00000000" w:rsidRPr="006241EB" w:rsidP="006241EB">
      <w:pPr>
        <w:pStyle w:val="Heading1"/>
      </w:pPr>
      <w:bookmarkStart w:id="9" w:name="O_1232571"/>
      <w:bookmarkEnd w:id="9"/>
      <w:r w:rsidRPr="006241EB">
        <w:t>Unit Mapping Information</w:t>
      </w:r>
    </w:p>
    <w:tbl>
      <w:tblPr>
        <w:tblW w:w="9497" w:type="dxa"/>
        <w:tblLayout w:type="fixed"/>
        <w:tblCellMar>
          <w:left w:w="62" w:type="dxa"/>
          <w:right w:w="62" w:type="dxa"/>
        </w:tblCellMar>
        <w:tblLook w:val="0000"/>
      </w:tblPr>
      <w:tblGrid>
        <w:gridCol w:w="9497"/>
      </w:tblGrid>
      <w:tr w:rsidTr="00624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41EB" w:rsidP="006241EB">
            <w:pPr>
              <w:pStyle w:val="BodyText"/>
            </w:pPr>
            <w:r w:rsidRPr="006241EB">
              <w:t>This is a new unit. No equivalent unit.</w:t>
            </w:r>
          </w:p>
        </w:tc>
      </w:tr>
    </w:tbl>
    <w:p w:rsidR="004B1821" w:rsidP="006241EB">
      <w:pPr>
        <w:pStyle w:val="NoPaddingFontSize1"/>
      </w:pPr>
    </w:p>
    <w:p w:rsidR="004B1821" w:rsidP="006241EB">
      <w:pPr>
        <w:pStyle w:val="NoPaddingFontSize1"/>
      </w:pPr>
    </w:p>
    <w:p w:rsidR="00000000" w:rsidRPr="006241EB" w:rsidP="006241EB">
      <w:pPr>
        <w:pStyle w:val="Heading1"/>
      </w:pPr>
      <w:bookmarkStart w:id="10" w:name="O_1232578"/>
      <w:bookmarkEnd w:id="10"/>
      <w:r w:rsidRPr="006241EB">
        <w:t>Links</w:t>
      </w:r>
    </w:p>
    <w:p w:rsidR="00000000" w:rsidRPr="006241EB" w:rsidP="004B1821">
      <w:pPr>
        <w:pStyle w:val="BodyText"/>
      </w:pPr>
      <w:r w:rsidRPr="006241E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7E35">
        <w:rPr>
          <w:rStyle w:val="Hyperlink"/>
        </w:rPr>
        <w:t>https://vetnet.gov.au/Pages/TrainingDocs.aspx?q=df441c6e-213d-43e3-874c-0b3f7036d851</w:t>
      </w:r>
      <w:r>
        <w:fldChar w:fldCharType="end"/>
      </w:r>
    </w:p>
    <w:p w:rsidR="00000000" w:rsidRPr="006241EB" w:rsidP="006241EB"/>
    <w:sectPr w:rsidSect="006241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EB" w:rsidRPr="004B1821" w:rsidP="004B1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21" w:rsidP="00624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821" w:rsidP="006241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B1821" w:rsidP="00624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1EB" w:rsidRPr="004B1821" w:rsidP="004B1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821" w:rsidRPr="002D2AF8" w:rsidP="006241EB">
    <w:pPr>
      <w:pStyle w:val="Header"/>
      <w:framePr w:wrap="around"/>
    </w:pPr>
    <w:r>
      <w:fldChar w:fldCharType="begin"/>
    </w:r>
    <w:r>
      <w:instrText xml:space="preserve"> TITLE   \* MERGEFORMAT </w:instrText>
    </w:r>
    <w:r>
      <w:fldChar w:fldCharType="separate"/>
    </w:r>
    <w:r>
      <w:t>TLIX0035 Apply knowledge of border clearance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B1821" w:rsidP="00624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1EB"/>
    <w:pPr>
      <w:spacing w:before="360" w:after="60"/>
      <w:outlineLvl w:val="0"/>
    </w:pPr>
    <w:rPr>
      <w:sz w:val="32"/>
    </w:rPr>
  </w:style>
  <w:style w:type="paragraph" w:styleId="Heading2">
    <w:name w:val="heading 2"/>
    <w:basedOn w:val="HeadingBase"/>
    <w:next w:val="BodyText"/>
    <w:link w:val="Heading2Char"/>
    <w:qFormat/>
    <w:rsid w:val="006241EB"/>
    <w:pPr>
      <w:keepLines/>
      <w:spacing w:before="240" w:after="120"/>
      <w:outlineLvl w:val="1"/>
    </w:pPr>
    <w:rPr>
      <w:sz w:val="28"/>
      <w:szCs w:val="40"/>
    </w:rPr>
  </w:style>
  <w:style w:type="paragraph" w:styleId="Heading3">
    <w:name w:val="heading 3"/>
    <w:basedOn w:val="HeadingBase"/>
    <w:next w:val="BodyText"/>
    <w:link w:val="Heading3Char"/>
    <w:qFormat/>
    <w:rsid w:val="006241EB"/>
    <w:pPr>
      <w:spacing w:before="180" w:after="120"/>
      <w:outlineLvl w:val="2"/>
    </w:pPr>
    <w:rPr>
      <w:spacing w:val="-10"/>
      <w:kern w:val="32"/>
    </w:rPr>
  </w:style>
  <w:style w:type="paragraph" w:styleId="Heading4">
    <w:name w:val="heading 4"/>
    <w:basedOn w:val="HeadingBase"/>
    <w:next w:val="BodyText"/>
    <w:link w:val="Heading4Char"/>
    <w:qFormat/>
    <w:rsid w:val="006241EB"/>
    <w:pPr>
      <w:spacing w:before="160" w:after="120"/>
      <w:outlineLvl w:val="3"/>
    </w:pPr>
    <w:rPr>
      <w:sz w:val="22"/>
    </w:rPr>
  </w:style>
  <w:style w:type="paragraph" w:styleId="Heading5">
    <w:name w:val="heading 5"/>
    <w:basedOn w:val="HeadingBase"/>
    <w:next w:val="Normal"/>
    <w:link w:val="Heading5Char"/>
    <w:qFormat/>
    <w:rsid w:val="006241EB"/>
    <w:pPr>
      <w:spacing w:before="80"/>
      <w:outlineLvl w:val="4"/>
    </w:pPr>
    <w:rPr>
      <w:color w:val="918585"/>
      <w:sz w:val="20"/>
    </w:rPr>
  </w:style>
  <w:style w:type="paragraph" w:styleId="Heading6">
    <w:name w:val="heading 6"/>
    <w:basedOn w:val="HeadingBase"/>
    <w:next w:val="Normal"/>
    <w:link w:val="Heading6Char"/>
    <w:qFormat/>
    <w:rsid w:val="006241EB"/>
    <w:pPr>
      <w:spacing w:before="60"/>
      <w:outlineLvl w:val="5"/>
    </w:pPr>
    <w:rPr>
      <w:color w:val="918585"/>
      <w:sz w:val="20"/>
    </w:rPr>
  </w:style>
  <w:style w:type="paragraph" w:styleId="Heading7">
    <w:name w:val="heading 7"/>
    <w:basedOn w:val="Normal"/>
    <w:next w:val="Normal"/>
    <w:link w:val="Heading7Char"/>
    <w:qFormat/>
    <w:rsid w:val="006241EB"/>
    <w:pPr>
      <w:ind w:left="720"/>
      <w:outlineLvl w:val="6"/>
    </w:pPr>
    <w:rPr>
      <w:i/>
    </w:rPr>
  </w:style>
  <w:style w:type="paragraph" w:styleId="Heading8">
    <w:name w:val="heading 8"/>
    <w:basedOn w:val="Normal"/>
    <w:next w:val="Normal"/>
    <w:link w:val="Heading8Char"/>
    <w:qFormat/>
    <w:rsid w:val="006241EB"/>
    <w:pPr>
      <w:ind w:left="720"/>
      <w:outlineLvl w:val="7"/>
    </w:pPr>
    <w:rPr>
      <w:i/>
    </w:rPr>
  </w:style>
  <w:style w:type="paragraph" w:styleId="Heading9">
    <w:name w:val="heading 9"/>
    <w:basedOn w:val="Normal"/>
    <w:next w:val="Normal"/>
    <w:link w:val="Heading9Char"/>
    <w:qFormat/>
    <w:rsid w:val="006241EB"/>
    <w:pPr>
      <w:ind w:left="720"/>
      <w:outlineLvl w:val="8"/>
    </w:pPr>
    <w:rPr>
      <w:i/>
    </w:rPr>
  </w:style>
  <w:style w:type="character" w:default="1" w:styleId="DefaultParagraphFont">
    <w:name w:val="Default Paragraph Font"/>
    <w:uiPriority w:val="1"/>
    <w:unhideWhenUsed/>
    <w:rsid w:val="00624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1EB"/>
  </w:style>
  <w:style w:type="character" w:customStyle="1" w:styleId="Heading1Char">
    <w:name w:val="Heading 1 Char"/>
    <w:basedOn w:val="DefaultParagraphFont"/>
    <w:link w:val="Heading1"/>
    <w:rsid w:val="006241EB"/>
    <w:rPr>
      <w:rFonts w:ascii="Times New Roman" w:eastAsia="Times New Roman" w:hAnsi="Times New Roman" w:cs="Times New Roman"/>
      <w:b/>
      <w:sz w:val="32"/>
      <w:szCs w:val="20"/>
      <w:lang w:eastAsia="en-US"/>
    </w:rPr>
  </w:style>
  <w:style w:type="paragraph" w:styleId="BodyText">
    <w:name w:val="Body Text"/>
    <w:basedOn w:val="Normal"/>
    <w:link w:val="BodyTextChar"/>
    <w:rsid w:val="00624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1EB"/>
    <w:rPr>
      <w:rFonts w:ascii="Times New Roman" w:eastAsia="Times New Roman" w:hAnsi="Times New Roman" w:cs="Times New Roman"/>
      <w:sz w:val="24"/>
      <w:lang w:eastAsia="en-US"/>
    </w:rPr>
  </w:style>
  <w:style w:type="character" w:customStyle="1" w:styleId="SpecialBold">
    <w:name w:val="Special Bold"/>
    <w:basedOn w:val="DefaultParagraphFont"/>
    <w:rsid w:val="006241EB"/>
    <w:rPr>
      <w:b/>
      <w:spacing w:val="0"/>
    </w:rPr>
  </w:style>
  <w:style w:type="paragraph" w:customStyle="1" w:styleId="SuperHeading">
    <w:name w:val="SuperHeading"/>
    <w:basedOn w:val="Normal"/>
    <w:rsid w:val="006241EB"/>
    <w:pPr>
      <w:spacing w:before="240" w:after="120"/>
      <w:outlineLvl w:val="0"/>
    </w:pPr>
    <w:rPr>
      <w:rFonts w:ascii="Times New Roman" w:hAnsi="Times New Roman"/>
      <w:b/>
      <w:sz w:val="32"/>
    </w:rPr>
  </w:style>
  <w:style w:type="paragraph" w:customStyle="1" w:styleId="AllowPageBreak">
    <w:name w:val="AllowPageBreak"/>
    <w:rsid w:val="006241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4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1EB"/>
    <w:rPr>
      <w:rFonts w:ascii="Courier New" w:eastAsia="Times New Roman" w:hAnsi="Courier New" w:cs="Times New Roman"/>
      <w:i/>
      <w:szCs w:val="20"/>
      <w:lang w:eastAsia="en-US"/>
    </w:rPr>
  </w:style>
  <w:style w:type="paragraph" w:customStyle="1" w:styleId="HeadingBase">
    <w:name w:val="Heading Base"/>
    <w:rsid w:val="00624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1EB"/>
    <w:pPr>
      <w:tabs>
        <w:tab w:val="right" w:leader="dot" w:pos="9072"/>
      </w:tabs>
      <w:ind w:left="567"/>
    </w:pPr>
    <w:rPr>
      <w:szCs w:val="22"/>
    </w:rPr>
  </w:style>
  <w:style w:type="paragraph" w:customStyle="1" w:styleId="TOCBase">
    <w:name w:val="TOC Base"/>
    <w:rsid w:val="00624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1EB"/>
    <w:pPr>
      <w:tabs>
        <w:tab w:val="right" w:leader="dot" w:pos="9072"/>
      </w:tabs>
      <w:spacing w:before="40" w:after="40"/>
      <w:ind w:left="284"/>
    </w:pPr>
    <w:rPr>
      <w:rFonts w:ascii="Times New Roman" w:hAnsi="Times New Roman"/>
    </w:rPr>
  </w:style>
  <w:style w:type="paragraph" w:styleId="TOC1">
    <w:name w:val="toc 1"/>
    <w:basedOn w:val="TOCBase"/>
    <w:next w:val="Normal"/>
    <w:rsid w:val="00624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1EB"/>
    <w:rPr>
      <w:rFonts w:ascii="Times New Roman" w:eastAsia="Times New Roman" w:hAnsi="Times New Roman" w:cs="Times New Roman"/>
      <w:sz w:val="16"/>
      <w:lang w:eastAsia="en-US"/>
    </w:rPr>
  </w:style>
  <w:style w:type="paragraph" w:styleId="Title">
    <w:name w:val="Title"/>
    <w:basedOn w:val="HeadingBase"/>
    <w:link w:val="TitleChar"/>
    <w:qFormat/>
    <w:rsid w:val="006241EB"/>
    <w:pPr>
      <w:spacing w:before="5040"/>
      <w:jc w:val="center"/>
    </w:pPr>
    <w:rPr>
      <w:sz w:val="48"/>
      <w:szCs w:val="72"/>
      <w:lang w:val="en-US"/>
    </w:rPr>
  </w:style>
  <w:style w:type="character" w:customStyle="1" w:styleId="TitleChar">
    <w:name w:val="Title Char"/>
    <w:basedOn w:val="DefaultParagraphFont"/>
    <w:link w:val="Title"/>
    <w:rsid w:val="00624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1EB"/>
    <w:pPr>
      <w:tabs>
        <w:tab w:val="left" w:pos="3600"/>
        <w:tab w:val="left" w:pos="3958"/>
      </w:tabs>
    </w:pPr>
  </w:style>
  <w:style w:type="paragraph" w:styleId="List">
    <w:name w:val="List"/>
    <w:basedOn w:val="BodyText"/>
    <w:next w:val="BodyText"/>
    <w:rsid w:val="006241EB"/>
    <w:pPr>
      <w:tabs>
        <w:tab w:val="left" w:pos="340"/>
      </w:tabs>
      <w:spacing w:before="60" w:after="60"/>
      <w:ind w:left="340" w:hanging="340"/>
    </w:pPr>
  </w:style>
  <w:style w:type="paragraph" w:styleId="ListBullet">
    <w:name w:val="List Bullet"/>
    <w:basedOn w:val="List"/>
    <w:rsid w:val="006241EB"/>
    <w:pPr>
      <w:numPr>
        <w:numId w:val="10"/>
      </w:numPr>
      <w:tabs>
        <w:tab w:val="clear" w:pos="340"/>
      </w:tabs>
      <w:spacing w:before="40" w:after="40"/>
    </w:pPr>
  </w:style>
  <w:style w:type="paragraph" w:customStyle="1" w:styleId="Note">
    <w:name w:val="Note"/>
    <w:basedOn w:val="BodyText"/>
    <w:rsid w:val="00624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1EB"/>
    <w:pPr>
      <w:framePr w:wrap="auto" w:hAnchor="text" w:y="6049"/>
    </w:pPr>
    <w:rPr>
      <w:color w:val="000000"/>
      <w:sz w:val="40"/>
    </w:rPr>
  </w:style>
  <w:style w:type="paragraph" w:customStyle="1" w:styleId="TOCTitle">
    <w:name w:val="TOCTitle"/>
    <w:basedOn w:val="Heading1"/>
    <w:rsid w:val="006241EB"/>
    <w:pPr>
      <w:spacing w:after="240"/>
      <w:jc w:val="center"/>
      <w:outlineLvl w:val="9"/>
    </w:pPr>
    <w:rPr>
      <w:caps/>
    </w:rPr>
  </w:style>
  <w:style w:type="paragraph" w:customStyle="1" w:styleId="Version">
    <w:name w:val="Version"/>
    <w:rsid w:val="006241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41EB"/>
    <w:pPr>
      <w:numPr>
        <w:numId w:val="11"/>
      </w:numPr>
      <w:tabs>
        <w:tab w:val="clear" w:pos="680"/>
      </w:tabs>
    </w:pPr>
  </w:style>
  <w:style w:type="paragraph" w:styleId="Index1">
    <w:name w:val="index 1"/>
    <w:basedOn w:val="Normal"/>
    <w:next w:val="Normal"/>
    <w:semiHidden/>
    <w:rsid w:val="006241EB"/>
    <w:pPr>
      <w:keepNext w:val="0"/>
      <w:tabs>
        <w:tab w:val="right" w:pos="4176"/>
      </w:tabs>
      <w:ind w:left="198" w:hanging="198"/>
    </w:pPr>
    <w:rPr>
      <w:rFonts w:ascii="Garamond" w:hAnsi="Garamond"/>
    </w:rPr>
  </w:style>
  <w:style w:type="paragraph" w:styleId="IndexHeading">
    <w:name w:val="index heading"/>
    <w:basedOn w:val="Normal"/>
    <w:next w:val="Index1"/>
    <w:semiHidden/>
    <w:rsid w:val="006241EB"/>
    <w:pPr>
      <w:spacing w:before="120" w:after="120"/>
    </w:pPr>
    <w:rPr>
      <w:rFonts w:ascii="Arial" w:hAnsi="Arial"/>
      <w:b/>
      <w:color w:val="918585"/>
      <w:sz w:val="24"/>
    </w:rPr>
  </w:style>
  <w:style w:type="paragraph" w:styleId="Header">
    <w:name w:val="header"/>
    <w:basedOn w:val="Normal"/>
    <w:link w:val="HeaderChar"/>
    <w:rsid w:val="00624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1EB"/>
    <w:rPr>
      <w:rFonts w:ascii="Times New Roman" w:eastAsia="Times New Roman" w:hAnsi="Times New Roman" w:cs="Times New Roman"/>
      <w:sz w:val="16"/>
      <w:szCs w:val="20"/>
      <w:lang w:val="en-GB" w:eastAsia="en-US"/>
    </w:rPr>
  </w:style>
  <w:style w:type="paragraph" w:customStyle="1" w:styleId="Chapter">
    <w:name w:val="Chapter"/>
    <w:basedOn w:val="Normal"/>
    <w:rsid w:val="006241EB"/>
    <w:pPr>
      <w:spacing w:before="240"/>
    </w:pPr>
    <w:rPr>
      <w:rFonts w:ascii="Times New Roman" w:hAnsi="Times New Roman"/>
      <w:smallCaps/>
      <w:spacing w:val="80"/>
      <w:sz w:val="28"/>
    </w:rPr>
  </w:style>
  <w:style w:type="paragraph" w:customStyle="1" w:styleId="InChapter">
    <w:name w:val="InChapter"/>
    <w:basedOn w:val="Heading3"/>
    <w:rsid w:val="006241EB"/>
    <w:pPr>
      <w:spacing w:after="240"/>
      <w:outlineLvl w:val="9"/>
    </w:pPr>
    <w:rPr>
      <w:noProof/>
    </w:rPr>
  </w:style>
  <w:style w:type="paragraph" w:styleId="Index2">
    <w:name w:val="index 2"/>
    <w:basedOn w:val="Normal"/>
    <w:next w:val="Normal"/>
    <w:semiHidden/>
    <w:rsid w:val="006241EB"/>
    <w:pPr>
      <w:tabs>
        <w:tab w:val="right" w:pos="4176"/>
      </w:tabs>
      <w:ind w:left="568" w:hanging="284"/>
    </w:pPr>
    <w:rPr>
      <w:rFonts w:ascii="Garamond" w:hAnsi="Garamond"/>
    </w:rPr>
  </w:style>
  <w:style w:type="paragraph" w:customStyle="1" w:styleId="Byline">
    <w:name w:val="Byline"/>
    <w:rsid w:val="00624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1EB"/>
    <w:pPr>
      <w:tabs>
        <w:tab w:val="clear" w:pos="3600"/>
        <w:tab w:val="clear" w:pos="3958"/>
      </w:tabs>
      <w:jc w:val="right"/>
    </w:pPr>
  </w:style>
  <w:style w:type="character" w:styleId="Emphasis">
    <w:name w:val="Emphasis"/>
    <w:basedOn w:val="DefaultParagraphFont"/>
    <w:qFormat/>
    <w:rsid w:val="006241EB"/>
    <w:rPr>
      <w:i/>
    </w:rPr>
  </w:style>
  <w:style w:type="paragraph" w:styleId="Caption">
    <w:name w:val="caption"/>
    <w:basedOn w:val="BodyText"/>
    <w:next w:val="Normal"/>
    <w:qFormat/>
    <w:rsid w:val="006241EB"/>
    <w:pPr>
      <w:framePr w:w="2268" w:hSpace="181" w:vSpace="181" w:wrap="around" w:vAnchor="text" w:hAnchor="page" w:x="1135" w:y="285" w:anchorLock="1"/>
    </w:pPr>
    <w:rPr>
      <w:i/>
    </w:rPr>
  </w:style>
  <w:style w:type="paragraph" w:customStyle="1" w:styleId="MiniTOCTitle">
    <w:name w:val="MiniTOCTitle"/>
    <w:basedOn w:val="Heading4"/>
    <w:rsid w:val="006241EB"/>
    <w:pPr>
      <w:spacing w:before="240"/>
      <w:outlineLvl w:val="9"/>
    </w:pPr>
    <w:rPr>
      <w:noProof/>
      <w:sz w:val="24"/>
    </w:rPr>
  </w:style>
  <w:style w:type="paragraph" w:customStyle="1" w:styleId="MiniTOCItem">
    <w:name w:val="MiniTOCItem"/>
    <w:basedOn w:val="ListBullet"/>
    <w:rsid w:val="006241EB"/>
    <w:pPr>
      <w:numPr>
        <w:numId w:val="0"/>
      </w:numPr>
      <w:tabs>
        <w:tab w:val="right" w:leader="dot" w:pos="6521"/>
      </w:tabs>
      <w:spacing w:before="0" w:after="0"/>
    </w:pPr>
  </w:style>
  <w:style w:type="paragraph" w:customStyle="1" w:styleId="TOFTitle">
    <w:name w:val="TOFTitle"/>
    <w:basedOn w:val="TOCTitle"/>
    <w:rsid w:val="006241EB"/>
  </w:style>
  <w:style w:type="paragraph" w:styleId="TableofFigures">
    <w:name w:val="table of figures"/>
    <w:basedOn w:val="Normal"/>
    <w:next w:val="Normal"/>
    <w:semiHidden/>
    <w:rsid w:val="006241EB"/>
    <w:pPr>
      <w:tabs>
        <w:tab w:val="right" w:leader="dot" w:pos="9072"/>
      </w:tabs>
      <w:ind w:left="970" w:hanging="403"/>
    </w:pPr>
    <w:rPr>
      <w:rFonts w:ascii="Times New Roman" w:hAnsi="Times New Roman"/>
      <w:b/>
    </w:rPr>
  </w:style>
  <w:style w:type="paragraph" w:styleId="ListNumber">
    <w:name w:val="List Number"/>
    <w:basedOn w:val="List"/>
    <w:rsid w:val="006241EB"/>
    <w:pPr>
      <w:numPr>
        <w:numId w:val="13"/>
      </w:numPr>
      <w:tabs>
        <w:tab w:val="clear" w:pos="340"/>
      </w:tabs>
    </w:pPr>
  </w:style>
  <w:style w:type="character" w:customStyle="1" w:styleId="WingdingSymbols">
    <w:name w:val="Wingding Symbols"/>
    <w:rsid w:val="006241EB"/>
    <w:rPr>
      <w:rFonts w:ascii="Wingdings" w:hAnsi="Wingdings"/>
    </w:rPr>
  </w:style>
  <w:style w:type="paragraph" w:customStyle="1" w:styleId="TableHeading">
    <w:name w:val="Table Heading"/>
    <w:basedOn w:val="HeadingBase"/>
    <w:rsid w:val="006241EB"/>
    <w:pPr>
      <w:keepLines/>
      <w:pBdr>
        <w:bottom w:val="single" w:sz="6" w:space="1" w:color="918585"/>
      </w:pBdr>
      <w:spacing w:before="240"/>
    </w:pPr>
  </w:style>
  <w:style w:type="character" w:customStyle="1" w:styleId="HotSpot">
    <w:name w:val="HotSpot"/>
    <w:rsid w:val="006241EB"/>
    <w:rPr>
      <w:color w:val="0033CC"/>
      <w:u w:val="none"/>
    </w:rPr>
  </w:style>
  <w:style w:type="paragraph" w:customStyle="1" w:styleId="BodyTextRight">
    <w:name w:val="Body Text Right"/>
    <w:basedOn w:val="BodyText"/>
    <w:rsid w:val="006241EB"/>
    <w:pPr>
      <w:spacing w:before="0" w:after="0"/>
      <w:jc w:val="right"/>
    </w:pPr>
  </w:style>
  <w:style w:type="paragraph" w:styleId="Index3">
    <w:name w:val="index 3"/>
    <w:basedOn w:val="ListNumber2"/>
    <w:next w:val="Normal"/>
    <w:semiHidden/>
    <w:rsid w:val="006241EB"/>
    <w:pPr>
      <w:numPr>
        <w:numId w:val="0"/>
      </w:numPr>
      <w:tabs>
        <w:tab w:val="right" w:leader="dot" w:pos="4176"/>
      </w:tabs>
    </w:pPr>
  </w:style>
  <w:style w:type="paragraph" w:styleId="ListNumber2">
    <w:name w:val="List Number 2"/>
    <w:basedOn w:val="List2"/>
    <w:rsid w:val="006241EB"/>
    <w:pPr>
      <w:numPr>
        <w:numId w:val="8"/>
      </w:numPr>
      <w:tabs>
        <w:tab w:val="clear" w:pos="1060"/>
      </w:tabs>
    </w:pPr>
  </w:style>
  <w:style w:type="paragraph" w:customStyle="1" w:styleId="MarginNote">
    <w:name w:val="Margin Note"/>
    <w:basedOn w:val="BodyText"/>
    <w:rsid w:val="00624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1EB"/>
    <w:rPr>
      <w:sz w:val="32"/>
    </w:rPr>
  </w:style>
  <w:style w:type="paragraph" w:customStyle="1" w:styleId="HeadingProcedure">
    <w:name w:val="Heading Procedure"/>
    <w:basedOn w:val="HeadingBase"/>
    <w:next w:val="Normal"/>
    <w:rsid w:val="006241EB"/>
    <w:pPr>
      <w:tabs>
        <w:tab w:val="left" w:pos="0"/>
      </w:tabs>
      <w:spacing w:before="120" w:after="60"/>
    </w:pPr>
    <w:rPr>
      <w:i/>
      <w:color w:val="918585"/>
      <w:sz w:val="22"/>
    </w:rPr>
  </w:style>
  <w:style w:type="paragraph" w:customStyle="1" w:styleId="TableBodyText">
    <w:name w:val="Table Body Text"/>
    <w:basedOn w:val="BodyText"/>
    <w:rsid w:val="006241EB"/>
    <w:pPr>
      <w:spacing w:before="60" w:after="60"/>
    </w:pPr>
  </w:style>
  <w:style w:type="paragraph" w:styleId="ListContinue">
    <w:name w:val="List Continue"/>
    <w:basedOn w:val="List"/>
    <w:rsid w:val="006241EB"/>
    <w:pPr>
      <w:ind w:firstLine="0"/>
    </w:pPr>
  </w:style>
  <w:style w:type="paragraph" w:customStyle="1" w:styleId="ListNote">
    <w:name w:val="List Note"/>
    <w:basedOn w:val="List"/>
    <w:rsid w:val="006241EB"/>
    <w:pPr>
      <w:pBdr>
        <w:top w:val="single" w:sz="6" w:space="2" w:color="918585"/>
        <w:bottom w:val="single" w:sz="6" w:space="2" w:color="918585"/>
      </w:pBdr>
      <w:tabs>
        <w:tab w:val="left" w:pos="1021"/>
      </w:tabs>
      <w:ind w:firstLine="0"/>
    </w:pPr>
  </w:style>
  <w:style w:type="paragraph" w:customStyle="1" w:styleId="Warning">
    <w:name w:val="Warning"/>
    <w:basedOn w:val="BodyText"/>
    <w:rsid w:val="006241EB"/>
    <w:pPr>
      <w:shd w:val="clear" w:color="auto" w:fill="D9D9D9"/>
      <w:tabs>
        <w:tab w:val="left" w:pos="992"/>
      </w:tabs>
      <w:ind w:left="119" w:right="119"/>
    </w:pPr>
    <w:rPr>
      <w:sz w:val="20"/>
    </w:rPr>
  </w:style>
  <w:style w:type="paragraph" w:customStyle="1" w:styleId="MarginIcons">
    <w:name w:val="Margin Icons"/>
    <w:basedOn w:val="BodyText"/>
    <w:rsid w:val="00624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1EB"/>
    <w:rPr>
      <w:rFonts w:ascii="Courier New" w:hAnsi="Courier New"/>
    </w:rPr>
  </w:style>
  <w:style w:type="paragraph" w:customStyle="1" w:styleId="NoteBullet">
    <w:name w:val="Note Bullet"/>
    <w:basedOn w:val="Note"/>
    <w:rsid w:val="006241EB"/>
    <w:pPr>
      <w:tabs>
        <w:tab w:val="clear" w:pos="680"/>
      </w:tabs>
      <w:spacing w:before="60" w:after="60"/>
    </w:pPr>
  </w:style>
  <w:style w:type="paragraph" w:customStyle="1" w:styleId="SubHeading2">
    <w:name w:val="SubHeading2"/>
    <w:basedOn w:val="HeadingBase"/>
    <w:rsid w:val="006241EB"/>
    <w:pPr>
      <w:spacing w:before="240" w:after="60"/>
    </w:pPr>
    <w:rPr>
      <w:sz w:val="20"/>
    </w:rPr>
  </w:style>
  <w:style w:type="paragraph" w:customStyle="1" w:styleId="SubHeading1">
    <w:name w:val="SubHeading1"/>
    <w:basedOn w:val="HeadingBase"/>
    <w:rsid w:val="006241EB"/>
    <w:pPr>
      <w:spacing w:before="240" w:after="60"/>
    </w:pPr>
    <w:rPr>
      <w:color w:val="918585"/>
      <w:sz w:val="22"/>
    </w:rPr>
  </w:style>
  <w:style w:type="paragraph" w:customStyle="1" w:styleId="SideHeading">
    <w:name w:val="Side Heading"/>
    <w:basedOn w:val="HeadingBase"/>
    <w:rsid w:val="00624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1EB"/>
    <w:pPr>
      <w:numPr>
        <w:numId w:val="9"/>
      </w:numPr>
    </w:pPr>
  </w:style>
  <w:style w:type="paragraph" w:styleId="PlainText">
    <w:name w:val="Plain Text"/>
    <w:basedOn w:val="Normal"/>
    <w:link w:val="PlainTextChar"/>
    <w:rsid w:val="006241EB"/>
    <w:rPr>
      <w:sz w:val="20"/>
    </w:rPr>
  </w:style>
  <w:style w:type="character" w:customStyle="1" w:styleId="PlainTextChar">
    <w:name w:val="Plain Text Char"/>
    <w:basedOn w:val="DefaultParagraphFont"/>
    <w:link w:val="PlainText"/>
    <w:rsid w:val="006241EB"/>
    <w:rPr>
      <w:rFonts w:ascii="Courier New" w:eastAsia="Times New Roman" w:hAnsi="Courier New" w:cs="Times New Roman"/>
      <w:sz w:val="20"/>
      <w:szCs w:val="20"/>
      <w:lang w:eastAsia="en-US"/>
    </w:rPr>
  </w:style>
  <w:style w:type="character" w:customStyle="1" w:styleId="MenuOption">
    <w:name w:val="Menu Option"/>
    <w:basedOn w:val="DefaultParagraphFont"/>
    <w:rsid w:val="006241EB"/>
    <w:rPr>
      <w:b/>
      <w:smallCaps/>
    </w:rPr>
  </w:style>
  <w:style w:type="paragraph" w:customStyle="1" w:styleId="TableListNumber">
    <w:name w:val="Table List Number"/>
    <w:basedOn w:val="ListNumber"/>
    <w:rsid w:val="006241EB"/>
    <w:pPr>
      <w:numPr>
        <w:numId w:val="0"/>
      </w:numPr>
    </w:pPr>
  </w:style>
  <w:style w:type="paragraph" w:styleId="TOC4">
    <w:name w:val="toc 4"/>
    <w:basedOn w:val="TOCBase"/>
    <w:next w:val="Normal"/>
    <w:semiHidden/>
    <w:rsid w:val="006241EB"/>
    <w:pPr>
      <w:tabs>
        <w:tab w:val="right" w:leader="dot" w:pos="9071"/>
      </w:tabs>
      <w:ind w:left="1701"/>
    </w:pPr>
  </w:style>
  <w:style w:type="paragraph" w:customStyle="1" w:styleId="ListAlpha">
    <w:name w:val="List Alpha"/>
    <w:basedOn w:val="List"/>
    <w:rsid w:val="006241EB"/>
    <w:pPr>
      <w:numPr>
        <w:numId w:val="7"/>
      </w:numPr>
    </w:pPr>
  </w:style>
  <w:style w:type="paragraph" w:customStyle="1" w:styleId="ListAlpha2">
    <w:name w:val="List Alpha 2"/>
    <w:basedOn w:val="List2"/>
    <w:rsid w:val="006241EB"/>
    <w:pPr>
      <w:numPr>
        <w:numId w:val="6"/>
      </w:numPr>
    </w:pPr>
  </w:style>
  <w:style w:type="paragraph" w:styleId="List2">
    <w:name w:val="List 2"/>
    <w:basedOn w:val="BodyText"/>
    <w:rsid w:val="006241EB"/>
    <w:pPr>
      <w:tabs>
        <w:tab w:val="left" w:pos="680"/>
      </w:tabs>
      <w:spacing w:before="60" w:after="60"/>
      <w:ind w:left="680" w:hanging="340"/>
    </w:pPr>
  </w:style>
  <w:style w:type="paragraph" w:styleId="List3">
    <w:name w:val="List 3"/>
    <w:basedOn w:val="BodyText"/>
    <w:rsid w:val="006241EB"/>
    <w:pPr>
      <w:tabs>
        <w:tab w:val="left" w:pos="1021"/>
      </w:tabs>
      <w:spacing w:before="60" w:after="60"/>
      <w:ind w:left="1020" w:hanging="340"/>
    </w:pPr>
  </w:style>
  <w:style w:type="paragraph" w:styleId="List4">
    <w:name w:val="List 4"/>
    <w:basedOn w:val="BodyText"/>
    <w:rsid w:val="006241EB"/>
    <w:pPr>
      <w:tabs>
        <w:tab w:val="left" w:pos="1361"/>
      </w:tabs>
      <w:spacing w:before="60" w:after="60"/>
      <w:ind w:left="1361" w:hanging="340"/>
    </w:pPr>
  </w:style>
  <w:style w:type="paragraph" w:styleId="List5">
    <w:name w:val="List 5"/>
    <w:basedOn w:val="BodyText"/>
    <w:rsid w:val="006241EB"/>
    <w:pPr>
      <w:tabs>
        <w:tab w:val="left" w:pos="1701"/>
      </w:tabs>
      <w:spacing w:before="60" w:after="60"/>
      <w:ind w:left="1701" w:hanging="340"/>
    </w:pPr>
  </w:style>
  <w:style w:type="paragraph" w:styleId="ListBullet3">
    <w:name w:val="List Bullet 3"/>
    <w:basedOn w:val="List3"/>
    <w:rsid w:val="006241EB"/>
    <w:pPr>
      <w:numPr>
        <w:numId w:val="12"/>
      </w:numPr>
      <w:tabs>
        <w:tab w:val="clear" w:pos="1021"/>
      </w:tabs>
      <w:ind w:left="1037" w:hanging="357"/>
    </w:pPr>
  </w:style>
  <w:style w:type="paragraph" w:styleId="ListBullet4">
    <w:name w:val="List Bullet 4"/>
    <w:basedOn w:val="List4"/>
    <w:rsid w:val="006241EB"/>
    <w:pPr>
      <w:numPr>
        <w:numId w:val="1"/>
      </w:numPr>
      <w:tabs>
        <w:tab w:val="clear" w:pos="1361"/>
      </w:tabs>
    </w:pPr>
  </w:style>
  <w:style w:type="paragraph" w:styleId="ListBullet5">
    <w:name w:val="List Bullet 5"/>
    <w:basedOn w:val="List5"/>
    <w:rsid w:val="006241EB"/>
    <w:pPr>
      <w:numPr>
        <w:numId w:val="2"/>
      </w:numPr>
    </w:pPr>
  </w:style>
  <w:style w:type="paragraph" w:styleId="ListContinue2">
    <w:name w:val="List Continue 2"/>
    <w:basedOn w:val="List2"/>
    <w:rsid w:val="006241EB"/>
    <w:pPr>
      <w:ind w:firstLine="0"/>
    </w:pPr>
  </w:style>
  <w:style w:type="paragraph" w:styleId="ListContinue3">
    <w:name w:val="List Continue 3"/>
    <w:basedOn w:val="List3"/>
    <w:rsid w:val="006241EB"/>
    <w:pPr>
      <w:ind w:left="1021" w:firstLine="0"/>
    </w:pPr>
  </w:style>
  <w:style w:type="paragraph" w:styleId="ListContinue4">
    <w:name w:val="List Continue 4"/>
    <w:basedOn w:val="List4"/>
    <w:rsid w:val="006241EB"/>
    <w:pPr>
      <w:ind w:firstLine="0"/>
    </w:pPr>
  </w:style>
  <w:style w:type="paragraph" w:styleId="ListContinue5">
    <w:name w:val="List Continue 5"/>
    <w:basedOn w:val="List5"/>
    <w:rsid w:val="006241EB"/>
    <w:pPr>
      <w:ind w:firstLine="0"/>
    </w:pPr>
  </w:style>
  <w:style w:type="paragraph" w:styleId="ListNumber3">
    <w:name w:val="List Number 3"/>
    <w:basedOn w:val="List3"/>
    <w:rsid w:val="006241EB"/>
    <w:pPr>
      <w:numPr>
        <w:numId w:val="3"/>
      </w:numPr>
    </w:pPr>
  </w:style>
  <w:style w:type="paragraph" w:styleId="ListNumber4">
    <w:name w:val="List Number 4"/>
    <w:basedOn w:val="List4"/>
    <w:rsid w:val="006241EB"/>
    <w:pPr>
      <w:numPr>
        <w:numId w:val="4"/>
      </w:numPr>
    </w:pPr>
  </w:style>
  <w:style w:type="paragraph" w:styleId="ListNumber5">
    <w:name w:val="List Number 5"/>
    <w:basedOn w:val="List5"/>
    <w:rsid w:val="006241EB"/>
    <w:pPr>
      <w:numPr>
        <w:numId w:val="5"/>
      </w:numPr>
    </w:pPr>
  </w:style>
  <w:style w:type="paragraph" w:styleId="BlockText">
    <w:name w:val="Block Text"/>
    <w:basedOn w:val="Normal"/>
    <w:rsid w:val="006241EB"/>
    <w:pPr>
      <w:spacing w:after="120"/>
      <w:ind w:left="1440" w:right="1440"/>
    </w:pPr>
  </w:style>
  <w:style w:type="character" w:customStyle="1" w:styleId="Subscript">
    <w:name w:val="Subscript"/>
    <w:basedOn w:val="DefaultParagraphFont"/>
    <w:rsid w:val="006241EB"/>
    <w:rPr>
      <w:sz w:val="16"/>
      <w:vertAlign w:val="subscript"/>
    </w:rPr>
  </w:style>
  <w:style w:type="character" w:customStyle="1" w:styleId="Superscript">
    <w:name w:val="Superscript"/>
    <w:basedOn w:val="DefaultParagraphFont"/>
    <w:rsid w:val="006241EB"/>
    <w:rPr>
      <w:sz w:val="16"/>
      <w:vertAlign w:val="superscript"/>
    </w:rPr>
  </w:style>
  <w:style w:type="character" w:customStyle="1" w:styleId="Symbols">
    <w:name w:val="Symbols"/>
    <w:basedOn w:val="DefaultParagraphFont"/>
    <w:rsid w:val="006241EB"/>
    <w:rPr>
      <w:rFonts w:ascii="Symbol" w:hAnsi="Symbol"/>
    </w:rPr>
  </w:style>
  <w:style w:type="character" w:customStyle="1" w:styleId="MenuOptions">
    <w:name w:val="Menu Options"/>
    <w:basedOn w:val="DefaultParagraphFont"/>
    <w:rsid w:val="006241EB"/>
    <w:rPr>
      <w:rFonts w:ascii="Arial Narrow" w:hAnsi="Arial Narrow"/>
      <w:smallCaps/>
    </w:rPr>
  </w:style>
  <w:style w:type="character" w:customStyle="1" w:styleId="Buttons">
    <w:name w:val="Buttons"/>
    <w:basedOn w:val="DefaultParagraphFont"/>
    <w:rsid w:val="006241EB"/>
    <w:rPr>
      <w:b/>
    </w:rPr>
  </w:style>
  <w:style w:type="character" w:customStyle="1" w:styleId="Underlined">
    <w:name w:val="Underlined"/>
    <w:basedOn w:val="DefaultParagraphFont"/>
    <w:rsid w:val="006241EB"/>
    <w:rPr>
      <w:u w:val="single"/>
    </w:rPr>
  </w:style>
  <w:style w:type="paragraph" w:customStyle="1" w:styleId="TableBodyTextRight">
    <w:name w:val="Table Body Text Right"/>
    <w:basedOn w:val="TableBodyText"/>
    <w:rsid w:val="006241EB"/>
    <w:pPr>
      <w:widowControl w:val="0"/>
      <w:autoSpaceDE w:val="0"/>
      <w:autoSpaceDN w:val="0"/>
      <w:adjustRightInd w:val="0"/>
      <w:jc w:val="right"/>
    </w:pPr>
    <w:rPr>
      <w:rFonts w:cs="Arial"/>
      <w:szCs w:val="18"/>
    </w:rPr>
  </w:style>
  <w:style w:type="paragraph" w:customStyle="1" w:styleId="CopyrightText">
    <w:name w:val="Copyright Text"/>
    <w:basedOn w:val="BodyText"/>
    <w:rsid w:val="006241EB"/>
    <w:rPr>
      <w:sz w:val="18"/>
    </w:rPr>
  </w:style>
  <w:style w:type="paragraph" w:customStyle="1" w:styleId="BodySmallRight">
    <w:name w:val="Body Small Right"/>
    <w:basedOn w:val="BodyTextRight"/>
    <w:rsid w:val="006241EB"/>
    <w:rPr>
      <w:sz w:val="18"/>
      <w:szCs w:val="18"/>
    </w:rPr>
  </w:style>
  <w:style w:type="paragraph" w:customStyle="1" w:styleId="MarginEdition">
    <w:name w:val="Margin Edition"/>
    <w:basedOn w:val="MarginNote"/>
    <w:rsid w:val="006241EB"/>
    <w:pPr>
      <w:spacing w:before="0" w:after="0"/>
    </w:pPr>
    <w:rPr>
      <w:rFonts w:ascii="Times New Roman" w:hAnsi="Times New Roman"/>
      <w:color w:val="999999"/>
    </w:rPr>
  </w:style>
  <w:style w:type="paragraph" w:customStyle="1" w:styleId="Spacer">
    <w:name w:val="Spacer"/>
    <w:basedOn w:val="Normal"/>
    <w:rsid w:val="006241EB"/>
    <w:rPr>
      <w:sz w:val="2"/>
      <w:szCs w:val="2"/>
    </w:rPr>
  </w:style>
  <w:style w:type="character" w:customStyle="1" w:styleId="Small">
    <w:name w:val="Small"/>
    <w:basedOn w:val="DefaultParagraphFont"/>
    <w:rsid w:val="006241EB"/>
    <w:rPr>
      <w:sz w:val="16"/>
    </w:rPr>
  </w:style>
  <w:style w:type="paragraph" w:customStyle="1" w:styleId="WideTable">
    <w:name w:val="Wide Table"/>
    <w:basedOn w:val="Normal"/>
    <w:rsid w:val="006241EB"/>
    <w:pPr>
      <w:ind w:left="-1418"/>
    </w:pPr>
    <w:rPr>
      <w:sz w:val="2"/>
      <w:szCs w:val="2"/>
    </w:rPr>
  </w:style>
  <w:style w:type="character" w:styleId="PageNumber">
    <w:name w:val="page number"/>
    <w:basedOn w:val="DefaultParagraphFont"/>
    <w:rsid w:val="006241EB"/>
  </w:style>
  <w:style w:type="paragraph" w:styleId="Quote">
    <w:name w:val="Quote"/>
    <w:basedOn w:val="Heading1"/>
    <w:link w:val="QuoteChar"/>
    <w:qFormat/>
    <w:rsid w:val="006241EB"/>
    <w:rPr>
      <w:b w:val="0"/>
      <w:sz w:val="72"/>
      <w:szCs w:val="72"/>
      <w:lang w:val="en-NZ"/>
    </w:rPr>
  </w:style>
  <w:style w:type="character" w:customStyle="1" w:styleId="QuoteChar">
    <w:name w:val="Quote Char"/>
    <w:basedOn w:val="DefaultParagraphFont"/>
    <w:link w:val="Quote"/>
    <w:rsid w:val="00624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1EB"/>
    <w:pPr>
      <w:pageBreakBefore/>
    </w:pPr>
  </w:style>
  <w:style w:type="paragraph" w:customStyle="1" w:styleId="Border">
    <w:name w:val="Border"/>
    <w:basedOn w:val="Normal"/>
    <w:qFormat/>
    <w:rsid w:val="00624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1EB"/>
    <w:rPr>
      <w:b/>
      <w:bCs/>
      <w:i/>
      <w:iCs/>
      <w:color w:val="auto"/>
    </w:rPr>
  </w:style>
  <w:style w:type="paragraph" w:styleId="IntenseQuote">
    <w:name w:val="Intense Quote"/>
    <w:basedOn w:val="Normal"/>
    <w:next w:val="Normal"/>
    <w:link w:val="IntenseQuoteChar"/>
    <w:uiPriority w:val="30"/>
    <w:qFormat/>
    <w:rsid w:val="00624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1EB"/>
    <w:rPr>
      <w:smallCaps/>
      <w:color w:val="auto"/>
      <w:u w:val="single"/>
    </w:rPr>
  </w:style>
  <w:style w:type="character" w:styleId="IntenseReference">
    <w:name w:val="Intense Reference"/>
    <w:basedOn w:val="DefaultParagraphFont"/>
    <w:uiPriority w:val="32"/>
    <w:qFormat/>
    <w:rsid w:val="006241EB"/>
    <w:rPr>
      <w:b/>
      <w:bCs/>
      <w:smallCaps/>
      <w:color w:val="auto"/>
      <w:spacing w:val="5"/>
      <w:u w:val="single"/>
    </w:rPr>
  </w:style>
  <w:style w:type="paragraph" w:customStyle="1" w:styleId="2ColumnHeading">
    <w:name w:val="2Column Heading"/>
    <w:basedOn w:val="BodyText"/>
    <w:qFormat/>
    <w:rsid w:val="006241EB"/>
    <w:pPr>
      <w:spacing w:after="60"/>
      <w:ind w:left="-2268"/>
    </w:pPr>
    <w:rPr>
      <w:b/>
    </w:rPr>
  </w:style>
  <w:style w:type="paragraph" w:customStyle="1" w:styleId="Heading1TOC">
    <w:name w:val="Heading1 TOC"/>
    <w:basedOn w:val="Normal"/>
    <w:qFormat/>
    <w:rsid w:val="006241EB"/>
    <w:pPr>
      <w:spacing w:before="240" w:after="120"/>
    </w:pPr>
    <w:rPr>
      <w:rFonts w:ascii="Times New Roman" w:hAnsi="Times New Roman"/>
      <w:b/>
      <w:sz w:val="32"/>
    </w:rPr>
  </w:style>
  <w:style w:type="paragraph" w:customStyle="1" w:styleId="Heading2TOC">
    <w:name w:val="Heading2 TOC"/>
    <w:basedOn w:val="Normal"/>
    <w:qFormat/>
    <w:rsid w:val="006241EB"/>
    <w:pPr>
      <w:spacing w:before="240" w:after="60"/>
    </w:pPr>
    <w:rPr>
      <w:rFonts w:ascii="Times New Roman" w:hAnsi="Times New Roman"/>
      <w:b/>
      <w:sz w:val="28"/>
    </w:rPr>
  </w:style>
  <w:style w:type="character" w:customStyle="1" w:styleId="Underline">
    <w:name w:val="Underline"/>
    <w:basedOn w:val="DefaultParagraphFont"/>
    <w:qFormat/>
    <w:rsid w:val="006241EB"/>
    <w:rPr>
      <w:u w:val="single"/>
    </w:rPr>
  </w:style>
  <w:style w:type="character" w:customStyle="1" w:styleId="BoldandItalics">
    <w:name w:val="Bold and Italics"/>
    <w:qFormat/>
    <w:rsid w:val="006241EB"/>
    <w:rPr>
      <w:b/>
      <w:i/>
      <w:u w:val="none"/>
    </w:rPr>
  </w:style>
  <w:style w:type="paragraph" w:styleId="BalloonText">
    <w:name w:val="Balloon Text"/>
    <w:basedOn w:val="Normal"/>
    <w:link w:val="BalloonTextChar"/>
    <w:rsid w:val="006241EB"/>
    <w:rPr>
      <w:rFonts w:ascii="Tahoma" w:hAnsi="Tahoma" w:cs="Tahoma"/>
      <w:sz w:val="16"/>
      <w:szCs w:val="16"/>
    </w:rPr>
  </w:style>
  <w:style w:type="character" w:customStyle="1" w:styleId="BalloonTextChar">
    <w:name w:val="Balloon Text Char"/>
    <w:basedOn w:val="DefaultParagraphFont"/>
    <w:link w:val="BalloonText"/>
    <w:rsid w:val="00624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1EB"/>
    <w:rPr>
      <w:b/>
      <w:color w:val="660033"/>
      <w:spacing w:val="0"/>
    </w:rPr>
  </w:style>
  <w:style w:type="paragraph" w:customStyle="1" w:styleId="Nameditemlist">
    <w:name w:val="Named item list"/>
    <w:basedOn w:val="BodyText"/>
    <w:qFormat/>
    <w:rsid w:val="006241EB"/>
    <w:pPr>
      <w:tabs>
        <w:tab w:val="left" w:pos="2835"/>
      </w:tabs>
      <w:ind w:left="2835" w:hanging="2835"/>
    </w:pPr>
  </w:style>
  <w:style w:type="paragraph" w:customStyle="1" w:styleId="BodyTextnopadding">
    <w:name w:val="Body Text no padding"/>
    <w:basedOn w:val="BodyText"/>
    <w:qFormat/>
    <w:rsid w:val="006241EB"/>
    <w:pPr>
      <w:spacing w:before="0" w:after="0"/>
    </w:pPr>
  </w:style>
  <w:style w:type="paragraph" w:customStyle="1" w:styleId="BodyTextBold">
    <w:name w:val="Body Text Bold"/>
    <w:basedOn w:val="BodyText"/>
    <w:qFormat/>
    <w:rsid w:val="006241EB"/>
    <w:rPr>
      <w:b/>
    </w:rPr>
  </w:style>
  <w:style w:type="character" w:styleId="Hyperlink">
    <w:name w:val="Hyperlink"/>
    <w:basedOn w:val="DefaultParagraphFont"/>
    <w:uiPriority w:val="99"/>
    <w:unhideWhenUsed/>
    <w:rsid w:val="004B1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4184</Characters>
  <Application>Microsoft Office Word</Application>
  <DocSecurity>0</DocSecurity>
  <Lines>278</Lines>
  <Paragraphs>128</Paragraphs>
  <ScaleCrop>false</ScaleCrop>
  <Company>Author-it Software Corporation Ltd.</Company>
  <LinksUpToDate>false</LinksUpToDate>
  <CharactersWithSpaces>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TLIX0035 Apply knowledge of border clearance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2024-07-12T07:44:00Z</dcterms:created>
  <dcterms:modified xsi:type="dcterms:W3CDTF">2024-07-12T07:44:00Z</dcterms:modified>
</cp:coreProperties>
</file>