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744" w:rsidP="00B34744">
      <w:pPr>
        <w:pStyle w:val="Title"/>
      </w:pPr>
      <w:r>
        <w:fldChar w:fldCharType="begin"/>
      </w:r>
      <w:r>
        <w:instrText xml:space="preserve"> TITLE   \* MERGEFORMAT </w:instrText>
      </w:r>
      <w:r>
        <w:fldChar w:fldCharType="separate"/>
      </w:r>
      <w:r>
        <w:t>TLIX0035 Apply knowledge of border clearance fundamentals</w:t>
      </w:r>
      <w:r>
        <w:fldChar w:fldCharType="end"/>
      </w:r>
    </w:p>
    <w:p w:rsidR="00B34744" w:rsidP="00B34744">
      <w:pPr>
        <w:pStyle w:val="Version"/>
        <w:sectPr w:rsidSect="00C33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E4D" w:rsidP="00C33E4D">
      <w:pPr>
        <w:pStyle w:val="SuperHeading"/>
      </w:pPr>
      <w:r w:rsidRPr="00C33E4D">
        <w:t>TLIX0035 Apply knowledge of border clearance fundamentals</w:t>
      </w:r>
    </w:p>
    <w:p w:rsidR="00000000" w:rsidRPr="00C33E4D" w:rsidP="00C33E4D">
      <w:pPr>
        <w:pStyle w:val="Heading1"/>
      </w:pPr>
      <w:bookmarkStart w:id="1" w:name="O_1232563"/>
      <w:bookmarkEnd w:id="1"/>
      <w:r w:rsidRPr="00C33E4D">
        <w:t>Modification History</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 xml:space="preserve">Release 1. </w:t>
            </w:r>
            <w:r w:rsidRPr="00C33E4D">
              <w:t>This is the first release of this unit of competency in the TLI Transport and Logistics Training Package.</w:t>
            </w:r>
          </w:p>
        </w:tc>
      </w:tr>
    </w:tbl>
    <w:p w:rsidR="00B34744" w:rsidP="00C33E4D">
      <w:pPr>
        <w:pStyle w:val="NoPaddingFontSize1"/>
      </w:pPr>
    </w:p>
    <w:p w:rsidR="00B34744" w:rsidP="00C33E4D">
      <w:pPr>
        <w:pStyle w:val="NoPaddingFontSize1"/>
      </w:pPr>
    </w:p>
    <w:p w:rsidR="00000000" w:rsidRPr="00C33E4D" w:rsidP="00C33E4D">
      <w:pPr>
        <w:pStyle w:val="Heading1"/>
      </w:pPr>
      <w:bookmarkStart w:id="2" w:name="O_1232564"/>
      <w:bookmarkEnd w:id="2"/>
      <w:r w:rsidRPr="00C33E4D">
        <w:t>Application</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This unit involves the skills and knowledge required as an introdu</w:t>
            </w:r>
            <w:r w:rsidRPr="00C33E4D">
              <w:t>ction to border clearance.</w:t>
            </w:r>
          </w:p>
          <w:p w:rsidR="00000000" w:rsidRPr="00C33E4D" w:rsidP="00C33E4D">
            <w:pPr>
              <w:pStyle w:val="BodyText"/>
            </w:pPr>
            <w:r w:rsidRPr="00C33E4D">
              <w:t>This unit includes outlining the framework for Australia’s international trade involvement and the structure and effect of Australian legislation in relation to importing and exporting cargo in accordance with legislation in rela</w:t>
            </w:r>
            <w:r w:rsidRPr="00C33E4D">
              <w:t>tion to border clearance activities. It also includes roles and responsibilities of a licensed customs broker, application of Incoterms to the movement of cargo and documentation and methods of payments used in border clearance.</w:t>
            </w:r>
          </w:p>
          <w:p w:rsidR="00000000" w:rsidRPr="00C33E4D" w:rsidP="00C33E4D">
            <w:pPr>
              <w:pStyle w:val="BodyText"/>
            </w:pPr>
            <w:r w:rsidRPr="00C33E4D">
              <w:t>Work is undertaken in a ran</w:t>
            </w:r>
            <w:r w:rsidRPr="00C33E4D">
              <w:t>ge of environments, including small to large worksites, in the customs broking and international supply chain industries.</w:t>
            </w:r>
          </w:p>
          <w:p w:rsidR="00000000" w:rsidRPr="00C33E4D" w:rsidP="00C33E4D">
            <w:pPr>
              <w:pStyle w:val="BodyText"/>
            </w:pPr>
            <w:r w:rsidRPr="00C33E4D">
              <w:t>No licensing, legislative or certification requirements apply to this unit at the time of publication.</w:t>
            </w:r>
          </w:p>
        </w:tc>
      </w:tr>
    </w:tbl>
    <w:p w:rsidR="00B34744" w:rsidP="00C33E4D">
      <w:pPr>
        <w:pStyle w:val="NoPaddingFontSize1"/>
      </w:pPr>
    </w:p>
    <w:p w:rsidR="00B34744" w:rsidP="00C33E4D">
      <w:pPr>
        <w:pStyle w:val="NoPaddingFontSize1"/>
      </w:pPr>
    </w:p>
    <w:p w:rsidR="00000000" w:rsidRPr="00C33E4D" w:rsidP="00C33E4D">
      <w:pPr>
        <w:pStyle w:val="Heading1"/>
      </w:pPr>
      <w:bookmarkStart w:id="3" w:name="O_1232565"/>
      <w:bookmarkEnd w:id="3"/>
      <w:r w:rsidRPr="00C33E4D">
        <w:t>Pre-requi</w:t>
      </w:r>
      <w:r w:rsidRPr="00C33E4D">
        <w:t>site Unit</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Not applicable.</w:t>
            </w:r>
          </w:p>
        </w:tc>
      </w:tr>
    </w:tbl>
    <w:p w:rsidR="00B34744" w:rsidP="00C33E4D">
      <w:pPr>
        <w:pStyle w:val="NoPaddingFontSize1"/>
      </w:pPr>
    </w:p>
    <w:p w:rsidR="00B34744" w:rsidP="00C33E4D">
      <w:pPr>
        <w:pStyle w:val="NoPaddingFontSize1"/>
      </w:pPr>
    </w:p>
    <w:p w:rsidR="00000000" w:rsidRPr="00C33E4D" w:rsidP="00C33E4D">
      <w:pPr>
        <w:pStyle w:val="Heading1"/>
      </w:pPr>
      <w:bookmarkStart w:id="4" w:name="O_1232566"/>
      <w:bookmarkEnd w:id="4"/>
      <w:r w:rsidRPr="00C33E4D">
        <w:t>Competency Field</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X – Logistics</w:t>
            </w:r>
          </w:p>
        </w:tc>
      </w:tr>
    </w:tbl>
    <w:p w:rsidR="00B34744" w:rsidP="00C33E4D">
      <w:pPr>
        <w:pStyle w:val="NoPaddingFontSize1"/>
      </w:pPr>
    </w:p>
    <w:p w:rsidR="00B34744" w:rsidP="00C33E4D">
      <w:pPr>
        <w:pStyle w:val="NoPaddingFontSize1"/>
      </w:pPr>
    </w:p>
    <w:p w:rsidR="00000000" w:rsidRPr="00C33E4D" w:rsidP="00C33E4D">
      <w:pPr>
        <w:pStyle w:val="Heading1"/>
      </w:pPr>
      <w:bookmarkStart w:id="5" w:name="O_1232567"/>
      <w:bookmarkEnd w:id="5"/>
      <w:r w:rsidRPr="00C33E4D">
        <w:t>Unit Sector</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Customs Broking.</w:t>
            </w:r>
          </w:p>
        </w:tc>
      </w:tr>
    </w:tbl>
    <w:p w:rsidR="00B34744" w:rsidP="00C33E4D">
      <w:pPr>
        <w:pStyle w:val="NoPaddingFontSize1"/>
      </w:pPr>
    </w:p>
    <w:p w:rsidR="00B34744" w:rsidP="00C33E4D">
      <w:pPr>
        <w:pStyle w:val="NoPaddingFontSize1"/>
      </w:pPr>
    </w:p>
    <w:p w:rsidR="00000000" w:rsidRPr="00C33E4D" w:rsidP="00C33E4D">
      <w:pPr>
        <w:pStyle w:val="Heading1"/>
      </w:pPr>
      <w:bookmarkStart w:id="6" w:name="O_1232568"/>
      <w:bookmarkEnd w:id="6"/>
      <w:r w:rsidRPr="00C33E4D">
        <w:t>Elements and Performance Criteria</w:t>
      </w:r>
    </w:p>
    <w:tbl>
      <w:tblPr>
        <w:tblW w:w="9497" w:type="dxa"/>
        <w:tblLayout w:type="fixed"/>
        <w:tblCellMar>
          <w:left w:w="62" w:type="dxa"/>
          <w:right w:w="62" w:type="dxa"/>
        </w:tblCellMar>
        <w:tblLook w:val="0000"/>
      </w:tblPr>
      <w:tblGrid>
        <w:gridCol w:w="405"/>
        <w:gridCol w:w="2207"/>
        <w:gridCol w:w="686"/>
        <w:gridCol w:w="1298"/>
        <w:gridCol w:w="3603"/>
        <w:gridCol w:w="1298"/>
      </w:tblGrid>
      <w:tr w:rsidTr="00C33E4D">
        <w:tblPrEx>
          <w:tblW w:w="9497" w:type="dxa"/>
          <w:tblLayout w:type="fixed"/>
          <w:tblCellMar>
            <w:left w:w="62" w:type="dxa"/>
            <w:right w:w="62" w:type="dxa"/>
          </w:tblCellMar>
          <w:tblLook w:val="0000"/>
        </w:tblPrEx>
        <w:tc>
          <w:tcPr>
            <w:tcW w:w="3298" w:type="dxa"/>
            <w:gridSpan w:val="3"/>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ELEMENTS</w:t>
            </w:r>
          </w:p>
        </w:tc>
        <w:tc>
          <w:tcPr>
            <w:tcW w:w="6199" w:type="dxa"/>
            <w:gridSpan w:val="3"/>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PERFORMANCE CRITERIA</w:t>
            </w:r>
          </w:p>
        </w:tc>
      </w:tr>
      <w:tr w:rsidTr="00C33E4D">
        <w:tblPrEx>
          <w:tblW w:w="9497" w:type="dxa"/>
          <w:tblLayout w:type="fixed"/>
          <w:tblCellMar>
            <w:left w:w="62" w:type="dxa"/>
            <w:right w:w="62" w:type="dxa"/>
          </w:tblCellMar>
          <w:tblLook w:val="0000"/>
        </w:tblPrEx>
        <w:tc>
          <w:tcPr>
            <w:tcW w:w="3298" w:type="dxa"/>
            <w:gridSpan w:val="3"/>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Elements describe the essential outcomes.</w:t>
            </w:r>
          </w:p>
        </w:tc>
        <w:tc>
          <w:tcPr>
            <w:tcW w:w="6199" w:type="dxa"/>
            <w:gridSpan w:val="3"/>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Performance criteria describe the performance needed to demonstrate achievement of the element.</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1</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 xml:space="preserve">Outline the framework for Australia’s </w:t>
            </w:r>
            <w:r w:rsidRPr="00C33E4D">
              <w:rPr>
                <w:rStyle w:val="SpecialBold"/>
              </w:rPr>
              <w:t>international trade involvement</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1.1</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 xml:space="preserve">Australia’s role and involvement in </w:t>
            </w:r>
            <w:r w:rsidRPr="00C33E4D">
              <w:t xml:space="preserve">international trade in relation to border clearance of cargo is </w:t>
            </w:r>
            <w:r w:rsidRPr="00C33E4D">
              <w:t>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1.2</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Role and function of World Trade Organization (WTO) is explained in accordance with relevant Agreements</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1.3</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Role and function of</w:t>
            </w:r>
            <w:r w:rsidRPr="00C33E4D">
              <w:t xml:space="preserve"> World Customs Organization (WCO) is explained in accordance with relevant Agreements</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1.4</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Role and function of international conventions and treaties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1.5</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Tariff and non-tariff barriers to trade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1.6</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Domestic implementation in Australia of sources of international law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2</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Outline the structure and effect of Australian legislation in relation to importing and exporting cargo</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2.1</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Role of Acts and regulations within the national context of i</w:t>
            </w:r>
            <w:r w:rsidRPr="00C33E4D">
              <w:t>mporting and exporting cargo is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2.2</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Australia</w:t>
            </w:r>
            <w:r>
              <w:t>’</w:t>
            </w:r>
            <w:r w:rsidRPr="00C33E4D">
              <w:t xml:space="preserve">s adoption of international conventions and treaties for importing and exporting cargo is explained </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3</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Outline the structure and effect of Australian legislation in relation to border clearance activities</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3.1</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Authority and function of the Australian Government and its officers under border control legislation is reviewed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3.2</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Powers of the regulatory au</w:t>
            </w:r>
            <w:r w:rsidRPr="00C33E4D">
              <w:t>thority and their officers are reviewed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3.3</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 xml:space="preserve">Responsibilities and obligations of a licensed customs broker under </w:t>
            </w:r>
            <w:r w:rsidRPr="00C33E4D">
              <w:t>border control legislation are reviewed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3.4</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Ethical practices of a licensed customs broker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3.5</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Australian Trusted Trader program is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4</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Identify r</w:t>
            </w:r>
            <w:r w:rsidRPr="00C33E4D">
              <w:rPr>
                <w:rStyle w:val="SpecialBold"/>
              </w:rPr>
              <w:t>ole and responsibilities of a licensed customs broker</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4.1</w:t>
            </w:r>
          </w:p>
        </w:tc>
        <w:tc>
          <w:tcPr>
            <w:tcW w:w="3603" w:type="dxa"/>
            <w:tcBorders>
              <w:top w:val="nil"/>
              <w:left w:val="nil"/>
              <w:bottom w:val="nil"/>
              <w:right w:val="nil"/>
            </w:tcBorders>
            <w:tcMar>
              <w:top w:w="0" w:type="dxa"/>
              <w:left w:w="62" w:type="dxa"/>
              <w:bottom w:w="0" w:type="dxa"/>
              <w:right w:w="62" w:type="dxa"/>
            </w:tcMar>
            <w:vAlign w:val="bottom"/>
          </w:tcPr>
          <w:p w:rsidR="00000000" w:rsidP="00C33E4D">
            <w:pPr>
              <w:pStyle w:val="BodyText"/>
              <w:rPr>
                <w:lang w:val="en-NZ"/>
              </w:rPr>
            </w:pPr>
            <w:r w:rsidRPr="00C33E4D">
              <w:t>Process of obtaining a customs broker</w:t>
            </w:r>
            <w:r>
              <w:t>’</w:t>
            </w:r>
            <w:r w:rsidRPr="00C33E4D">
              <w:t>s licence under Customs Act is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4.2</w:t>
            </w:r>
          </w:p>
        </w:tc>
        <w:tc>
          <w:tcPr>
            <w:tcW w:w="3603" w:type="dxa"/>
            <w:tcBorders>
              <w:top w:val="nil"/>
              <w:left w:val="nil"/>
              <w:bottom w:val="nil"/>
              <w:right w:val="nil"/>
            </w:tcBorders>
            <w:tcMar>
              <w:top w:w="0" w:type="dxa"/>
              <w:left w:w="62" w:type="dxa"/>
              <w:bottom w:w="0" w:type="dxa"/>
              <w:right w:w="62" w:type="dxa"/>
            </w:tcMar>
            <w:vAlign w:val="bottom"/>
          </w:tcPr>
          <w:p w:rsidR="00000000" w:rsidP="00C33E4D">
            <w:pPr>
              <w:pStyle w:val="BodyText"/>
              <w:rPr>
                <w:lang w:val="en-NZ"/>
              </w:rPr>
            </w:pPr>
            <w:r w:rsidRPr="00C33E4D">
              <w:t>Types of cu</w:t>
            </w:r>
            <w:r w:rsidRPr="00C33E4D">
              <w:t>stoms broker</w:t>
            </w:r>
            <w:r>
              <w:t>’</w:t>
            </w:r>
            <w:r w:rsidRPr="00C33E4D">
              <w:t>s licence and conditions is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5</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Apply Incoterms to the movement of cargo</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5.1</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Purpose and different types of Incoterms are interpreted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5.2</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Responsibilities, obligations and risks to the parties under Incoterms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5.3</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Incoterms are applied as required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6</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Identify documentation used in border clearance</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6.1</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Required documentation is identified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6.2</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Documentation meeting clearance requirements is confirmed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6.3</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Commercial documents matching transport documents is confirmed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7</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Identify methods of payment</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7.1</w:t>
            </w:r>
          </w:p>
        </w:tc>
        <w:tc>
          <w:tcPr>
            <w:tcW w:w="3603" w:type="dxa"/>
            <w:tcBorders>
              <w:top w:val="nil"/>
              <w:left w:val="nil"/>
              <w:bottom w:val="nil"/>
              <w:right w:val="nil"/>
            </w:tcBorders>
            <w:tcMar>
              <w:top w:w="0" w:type="dxa"/>
              <w:left w:w="62" w:type="dxa"/>
              <w:bottom w:w="0" w:type="dxa"/>
              <w:right w:w="62" w:type="dxa"/>
            </w:tcMar>
            <w:vAlign w:val="bottom"/>
          </w:tcPr>
          <w:p w:rsidR="00000000" w:rsidP="00C33E4D">
            <w:pPr>
              <w:pStyle w:val="BodyText"/>
              <w:rPr>
                <w:lang w:val="en-NZ"/>
              </w:rPr>
            </w:pPr>
            <w:r w:rsidRPr="00C33E4D">
              <w:t>Methods of payment for international trade are identified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7.2</w:t>
            </w:r>
          </w:p>
        </w:tc>
        <w:tc>
          <w:tcPr>
            <w:tcW w:w="3603" w:type="dxa"/>
            <w:tcBorders>
              <w:top w:val="nil"/>
              <w:left w:val="nil"/>
              <w:bottom w:val="nil"/>
              <w:right w:val="nil"/>
            </w:tcBorders>
            <w:tcMar>
              <w:top w:w="0" w:type="dxa"/>
              <w:left w:w="62" w:type="dxa"/>
              <w:bottom w:w="0" w:type="dxa"/>
              <w:right w:w="62" w:type="dxa"/>
            </w:tcMar>
            <w:vAlign w:val="bottom"/>
          </w:tcPr>
          <w:p w:rsidR="00000000" w:rsidP="00C33E4D">
            <w:pPr>
              <w:pStyle w:val="BodyText"/>
              <w:rPr>
                <w:lang w:val="en-NZ"/>
              </w:rPr>
            </w:pPr>
            <w:r w:rsidRPr="00C33E4D">
              <w:t>Parties involved in international trade and international movement of cargo are identified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8</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Manage information</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8.1</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Requirements for the retention of documents and electronic data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8.2</w:t>
            </w:r>
          </w:p>
        </w:tc>
        <w:tc>
          <w:tcPr>
            <w:tcW w:w="3603"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Retention of communications is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9</w:t>
            </w:r>
          </w:p>
        </w:tc>
        <w:tc>
          <w:tcPr>
            <w:tcW w:w="220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Identify</w:t>
            </w:r>
            <w:r w:rsidRPr="00C33E4D">
              <w:t xml:space="preserve"> </w:t>
            </w:r>
            <w:r w:rsidRPr="00C33E4D">
              <w:rPr>
                <w:rStyle w:val="SpecialBold"/>
              </w:rPr>
              <w:t>insurance options</w:t>
            </w: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9.1</w:t>
            </w:r>
          </w:p>
        </w:tc>
        <w:tc>
          <w:tcPr>
            <w:tcW w:w="3603" w:type="dxa"/>
            <w:tcBorders>
              <w:top w:val="nil"/>
              <w:left w:val="nil"/>
              <w:bottom w:val="nil"/>
              <w:right w:val="nil"/>
            </w:tcBorders>
            <w:tcMar>
              <w:top w:w="0" w:type="dxa"/>
              <w:left w:w="62" w:type="dxa"/>
              <w:bottom w:w="0" w:type="dxa"/>
              <w:right w:w="62" w:type="dxa"/>
            </w:tcMar>
            <w:vAlign w:val="bottom"/>
          </w:tcPr>
          <w:p w:rsidR="00000000" w:rsidP="00C33E4D">
            <w:pPr>
              <w:pStyle w:val="BodyText"/>
              <w:rPr>
                <w:lang w:val="en-NZ"/>
              </w:rPr>
            </w:pPr>
            <w:r w:rsidRPr="00C33E4D">
              <w:t>Marine insurance options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9.2</w:t>
            </w:r>
          </w:p>
        </w:tc>
        <w:tc>
          <w:tcPr>
            <w:tcW w:w="3603" w:type="dxa"/>
            <w:tcBorders>
              <w:top w:val="nil"/>
              <w:left w:val="nil"/>
              <w:bottom w:val="nil"/>
              <w:right w:val="nil"/>
            </w:tcBorders>
            <w:tcMar>
              <w:top w:w="0" w:type="dxa"/>
              <w:left w:w="62" w:type="dxa"/>
              <w:bottom w:w="0" w:type="dxa"/>
              <w:right w:w="62" w:type="dxa"/>
            </w:tcMar>
            <w:vAlign w:val="bottom"/>
          </w:tcPr>
          <w:p w:rsidR="00000000" w:rsidP="00C33E4D">
            <w:pPr>
              <w:pStyle w:val="BodyText"/>
              <w:rPr>
                <w:lang w:val="en-NZ"/>
              </w:rPr>
            </w:pPr>
            <w:r w:rsidRPr="00C33E4D">
              <w:t>Concepts of general average and force majeure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9.3</w:t>
            </w:r>
          </w:p>
        </w:tc>
        <w:tc>
          <w:tcPr>
            <w:tcW w:w="3603" w:type="dxa"/>
            <w:tcBorders>
              <w:top w:val="nil"/>
              <w:left w:val="nil"/>
              <w:bottom w:val="nil"/>
              <w:right w:val="nil"/>
            </w:tcBorders>
            <w:tcMar>
              <w:top w:w="0" w:type="dxa"/>
              <w:left w:w="62" w:type="dxa"/>
              <w:bottom w:w="0" w:type="dxa"/>
              <w:right w:w="62" w:type="dxa"/>
            </w:tcMar>
            <w:vAlign w:val="bottom"/>
          </w:tcPr>
          <w:p w:rsidR="00000000" w:rsidP="00C33E4D">
            <w:pPr>
              <w:pStyle w:val="BodyText"/>
              <w:rPr>
                <w:lang w:val="en-NZ"/>
              </w:rPr>
            </w:pPr>
            <w:r w:rsidRPr="00C33E4D">
              <w:t>Procedures to handle pillage, damage and/or loss are explained</w:t>
            </w:r>
          </w:p>
        </w:tc>
      </w:tr>
      <w:tr w:rsidTr="00C33E4D">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C33E4D">
            <w:pPr>
              <w:pStyle w:val="BodyText"/>
              <w:keepLines w:val="0"/>
              <w:spacing w:before="0" w:after="0"/>
            </w:pPr>
          </w:p>
        </w:tc>
        <w:tc>
          <w:tcPr>
            <w:tcW w:w="1984" w:type="dxa"/>
            <w:gridSpan w:val="2"/>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rPr>
                <w:rStyle w:val="SpecialBold"/>
              </w:rPr>
              <w:t>9.4</w:t>
            </w:r>
          </w:p>
        </w:tc>
        <w:tc>
          <w:tcPr>
            <w:tcW w:w="3603" w:type="dxa"/>
            <w:tcBorders>
              <w:top w:val="nil"/>
              <w:left w:val="nil"/>
              <w:bottom w:val="nil"/>
              <w:right w:val="nil"/>
            </w:tcBorders>
            <w:tcMar>
              <w:top w:w="0" w:type="dxa"/>
              <w:left w:w="62" w:type="dxa"/>
              <w:bottom w:w="0" w:type="dxa"/>
              <w:right w:w="62" w:type="dxa"/>
            </w:tcMar>
            <w:vAlign w:val="bottom"/>
          </w:tcPr>
          <w:p w:rsidR="00000000" w:rsidRPr="00C33E4D" w:rsidP="00C33E4D">
            <w:pPr>
              <w:pStyle w:val="BodyText"/>
            </w:pPr>
            <w:r w:rsidRPr="00C33E4D">
              <w:t>Other relevant liability insurance options are explained</w:t>
            </w:r>
          </w:p>
        </w:tc>
      </w:tr>
    </w:tbl>
    <w:p w:rsidR="00B34744" w:rsidP="00C33E4D">
      <w:pPr>
        <w:pStyle w:val="NoPaddingFontSize1"/>
      </w:pPr>
    </w:p>
    <w:p w:rsidR="00B34744" w:rsidP="00C33E4D">
      <w:pPr>
        <w:pStyle w:val="NoPaddingFontSize1"/>
      </w:pPr>
    </w:p>
    <w:p w:rsidR="00000000" w:rsidRPr="00C33E4D" w:rsidP="00C33E4D">
      <w:pPr>
        <w:pStyle w:val="Heading1"/>
      </w:pPr>
      <w:bookmarkStart w:id="7" w:name="O_1232569"/>
      <w:bookmarkEnd w:id="7"/>
      <w:r w:rsidRPr="00C33E4D">
        <w:t>Foundation Skills</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Foundation skills essential to performance are explicit in the performance criteria of this unit of competency.</w:t>
            </w:r>
          </w:p>
        </w:tc>
      </w:tr>
    </w:tbl>
    <w:p w:rsidR="00B34744" w:rsidP="00C33E4D">
      <w:pPr>
        <w:pStyle w:val="NoPaddingFontSize1"/>
      </w:pPr>
    </w:p>
    <w:p w:rsidR="00B34744" w:rsidP="00C33E4D">
      <w:pPr>
        <w:pStyle w:val="NoPaddingFontSize1"/>
      </w:pPr>
    </w:p>
    <w:p w:rsidR="00000000" w:rsidRPr="00C33E4D" w:rsidP="00C33E4D">
      <w:pPr>
        <w:pStyle w:val="Heading1"/>
      </w:pPr>
      <w:bookmarkStart w:id="8" w:name="O_1232570"/>
      <w:bookmarkEnd w:id="8"/>
      <w:r w:rsidRPr="00C33E4D">
        <w:t>Range of Conditions</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Range is restricted to essential operating conditions and any other variables essential to the work en</w:t>
            </w:r>
            <w:r w:rsidRPr="00C33E4D">
              <w:t>vironment.</w:t>
            </w:r>
          </w:p>
        </w:tc>
      </w:tr>
    </w:tbl>
    <w:p w:rsidR="00B34744" w:rsidP="00C33E4D">
      <w:pPr>
        <w:pStyle w:val="NoPaddingFontSize1"/>
      </w:pPr>
    </w:p>
    <w:p w:rsidR="00B34744" w:rsidP="00C33E4D">
      <w:pPr>
        <w:pStyle w:val="NoPaddingFontSize1"/>
      </w:pPr>
    </w:p>
    <w:p w:rsidR="00000000" w:rsidRPr="00C33E4D" w:rsidP="00C33E4D">
      <w:pPr>
        <w:pStyle w:val="Heading1"/>
      </w:pPr>
      <w:bookmarkStart w:id="9" w:name="O_1232571"/>
      <w:bookmarkEnd w:id="9"/>
      <w:r w:rsidRPr="00C33E4D">
        <w:t>Unit Mapping Information</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This is a new unit. No equivalent unit.</w:t>
            </w:r>
          </w:p>
        </w:tc>
      </w:tr>
    </w:tbl>
    <w:p w:rsidR="00B34744" w:rsidP="00C33E4D">
      <w:pPr>
        <w:pStyle w:val="NoPaddingFontSize1"/>
      </w:pPr>
    </w:p>
    <w:p w:rsidR="00B34744" w:rsidP="00C33E4D">
      <w:pPr>
        <w:pStyle w:val="NoPaddingFontSize1"/>
      </w:pPr>
    </w:p>
    <w:p w:rsidR="00000000" w:rsidRPr="00C33E4D" w:rsidP="00C33E4D">
      <w:pPr>
        <w:pStyle w:val="Heading1"/>
      </w:pPr>
      <w:bookmarkStart w:id="10" w:name="O_1232578"/>
      <w:bookmarkEnd w:id="10"/>
      <w:r w:rsidRPr="00C33E4D">
        <w:t>Links</w:t>
      </w:r>
    </w:p>
    <w:p w:rsidR="00000000" w:rsidRPr="00C33E4D" w:rsidP="00B34744">
      <w:pPr>
        <w:pStyle w:val="BodyText"/>
      </w:pPr>
      <w:r w:rsidRPr="00C33E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620E">
        <w:rPr>
          <w:rStyle w:val="Hyperlink"/>
        </w:rPr>
        <w:t>https://vetnet.gov.au/Pages/TrainingDocs.aspx?q=df441c6e-213d-43e3-874c-0b3f7036d851</w:t>
      </w:r>
      <w:r>
        <w:fldChar w:fldCharType="end"/>
      </w:r>
    </w:p>
    <w:p w:rsidR="00000000" w:rsidRPr="00C33E4D" w:rsidP="00B34744">
      <w:pPr>
        <w:pStyle w:val="BodyText"/>
        <w:sectPr w:rsidSect="00C33E4D">
          <w:headerReference w:type="default" r:id="rId10"/>
          <w:footerReference w:type="default" r:id="rId11"/>
          <w:pgSz w:w="11908" w:h="16833"/>
          <w:pgMar w:top="1702" w:right="1418" w:bottom="1702" w:left="1418" w:header="992" w:footer="992" w:gutter="0"/>
          <w:cols w:space="720"/>
          <w:noEndnote/>
          <w:docGrid w:linePitch="299"/>
        </w:sectPr>
      </w:pPr>
    </w:p>
    <w:p w:rsidR="00000000" w:rsidRPr="00C33E4D" w:rsidP="00C33E4D">
      <w:pPr>
        <w:pStyle w:val="SuperHeading"/>
      </w:pPr>
      <w:r w:rsidRPr="00C33E4D">
        <w:t>Assessment Requirements for TLIX0035 Apply knowledge of border clearance fundamentals</w:t>
      </w:r>
    </w:p>
    <w:p w:rsidR="00000000" w:rsidRPr="00C33E4D" w:rsidP="00C33E4D">
      <w:pPr>
        <w:pStyle w:val="Heading1"/>
      </w:pPr>
      <w:bookmarkStart w:id="11" w:name="O_1232573"/>
      <w:bookmarkEnd w:id="11"/>
      <w:r w:rsidRPr="00C33E4D">
        <w:t>Modification History</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rPr>
                <w:rStyle w:val="SpecialBold"/>
              </w:rPr>
              <w:t xml:space="preserve">Release 1. </w:t>
            </w:r>
            <w:r w:rsidRPr="00C33E4D">
              <w:t>This is the first release of this unit of competency in the TLI Transport and Logistics Training Package.</w:t>
            </w:r>
          </w:p>
        </w:tc>
      </w:tr>
    </w:tbl>
    <w:p w:rsidR="00B34744" w:rsidP="00C33E4D">
      <w:pPr>
        <w:pStyle w:val="NoPaddingFontSize1"/>
      </w:pPr>
    </w:p>
    <w:p w:rsidR="00B34744" w:rsidP="00C33E4D">
      <w:pPr>
        <w:pStyle w:val="NoPaddingFontSize1"/>
      </w:pPr>
    </w:p>
    <w:p w:rsidR="00000000" w:rsidRPr="00C33E4D" w:rsidP="00C33E4D">
      <w:pPr>
        <w:pStyle w:val="Heading1"/>
      </w:pPr>
      <w:bookmarkStart w:id="12" w:name="O_1232574"/>
      <w:bookmarkEnd w:id="12"/>
      <w:r w:rsidRPr="00C33E4D">
        <w:t>Performance Evidence</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Evidence required to demonstrate competence in this unit must be relevant to and satisfy all of the require</w:t>
            </w:r>
            <w:r w:rsidRPr="00C33E4D">
              <w:t>ments of the elements and performance criteria on at least one occasion and include:</w:t>
            </w:r>
          </w:p>
        </w:tc>
      </w:tr>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ListBullet"/>
            </w:pPr>
            <w:r w:rsidRPr="00C33E4D">
              <w:t>describing processes to obtain a customs broker licence</w:t>
            </w:r>
          </w:p>
          <w:p w:rsidR="00000000" w:rsidRPr="00C33E4D" w:rsidP="00C33E4D">
            <w:pPr>
              <w:pStyle w:val="ListBullet"/>
            </w:pPr>
            <w:r w:rsidRPr="00C33E4D">
              <w:t>explaining record management including retention of communication and documentation</w:t>
            </w:r>
          </w:p>
          <w:p w:rsidR="00000000" w:rsidRPr="00C33E4D" w:rsidP="00C33E4D">
            <w:pPr>
              <w:pStyle w:val="ListBullet"/>
            </w:pPr>
            <w:r w:rsidRPr="00C33E4D">
              <w:t>explaining relevant liability insurance options</w:t>
            </w:r>
          </w:p>
          <w:p w:rsidR="00000000" w:rsidRPr="00C33E4D" w:rsidP="00C33E4D">
            <w:pPr>
              <w:pStyle w:val="ListBullet"/>
            </w:pPr>
            <w:r w:rsidRPr="00C33E4D">
              <w:t>identifying and matching required border clearance documentation</w:t>
            </w:r>
          </w:p>
          <w:p w:rsidR="00000000" w:rsidRPr="00C33E4D" w:rsidP="00C33E4D">
            <w:pPr>
              <w:pStyle w:val="ListBullet"/>
            </w:pPr>
            <w:r w:rsidRPr="00C33E4D">
              <w:t>identifying methods of payment for international trade</w:t>
            </w:r>
          </w:p>
          <w:p w:rsidR="00000000" w:rsidRPr="00C33E4D" w:rsidP="00C33E4D">
            <w:pPr>
              <w:pStyle w:val="ListBullet"/>
            </w:pPr>
            <w:r w:rsidRPr="00C33E4D">
              <w:t>interpreting and applying Incoterms.</w:t>
            </w:r>
          </w:p>
        </w:tc>
      </w:tr>
    </w:tbl>
    <w:p w:rsidR="00B34744" w:rsidP="00C33E4D">
      <w:pPr>
        <w:pStyle w:val="NoPaddingFontSize1"/>
      </w:pPr>
    </w:p>
    <w:p w:rsidR="00B34744" w:rsidP="00C33E4D">
      <w:pPr>
        <w:pStyle w:val="NoPaddingFontSize1"/>
      </w:pPr>
    </w:p>
    <w:p w:rsidR="00000000" w:rsidRPr="00C33E4D" w:rsidP="00C33E4D">
      <w:pPr>
        <w:pStyle w:val="Heading1"/>
      </w:pPr>
      <w:bookmarkStart w:id="13" w:name="O_1232575"/>
      <w:bookmarkEnd w:id="13"/>
      <w:r w:rsidRPr="00C33E4D">
        <w:t>Knowledge Evidence</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3E4D">
            <w:pPr>
              <w:pStyle w:val="BodyText"/>
              <w:rPr>
                <w:lang w:val="en-NZ"/>
              </w:rPr>
            </w:pPr>
            <w:r w:rsidRPr="00C33E4D">
              <w:t>Evidence r</w:t>
            </w:r>
            <w:r w:rsidRPr="00C33E4D">
              <w:t>equired to demonstrate competence in this unit must be relevant to and satisfy all of the requirements of the elements and performance criteria and include knowledge of:</w:t>
            </w:r>
          </w:p>
        </w:tc>
      </w:tr>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ListBullet"/>
            </w:pPr>
            <w:r w:rsidRPr="00C33E4D">
              <w:t>concepts of general average and force majeure</w:t>
            </w:r>
          </w:p>
          <w:p w:rsidR="00000000" w:rsidRPr="00C33E4D" w:rsidP="00C33E4D">
            <w:pPr>
              <w:pStyle w:val="ListBullet"/>
            </w:pPr>
            <w:r w:rsidRPr="00C33E4D">
              <w:t>impact of the following when preparing information for border clearance including:</w:t>
            </w:r>
          </w:p>
          <w:p w:rsidR="00000000" w:rsidRPr="00C33E4D" w:rsidP="00C33E4D">
            <w:pPr>
              <w:pStyle w:val="ListBullet2"/>
            </w:pPr>
            <w:r w:rsidRPr="00C33E4D">
              <w:t>importance and role of commercial documentation, including bills of lading, waybills and air waybills in moving cargo</w:t>
            </w:r>
          </w:p>
          <w:p w:rsidR="00000000" w:rsidRPr="00C33E4D" w:rsidP="00C33E4D">
            <w:pPr>
              <w:pStyle w:val="ListBullet"/>
            </w:pPr>
            <w:r w:rsidRPr="00C33E4D">
              <w:t>Incoterms responsibilities, obligations and risks</w:t>
            </w:r>
          </w:p>
          <w:p w:rsidR="00000000" w:rsidRPr="00C33E4D" w:rsidP="00C33E4D">
            <w:pPr>
              <w:pStyle w:val="ListBullet"/>
            </w:pPr>
            <w:r w:rsidRPr="00C33E4D">
              <w:t>met</w:t>
            </w:r>
            <w:r w:rsidRPr="00C33E4D">
              <w:t>hod of payment:</w:t>
            </w:r>
          </w:p>
          <w:p w:rsidR="00000000" w:rsidRPr="00C33E4D" w:rsidP="00C33E4D">
            <w:pPr>
              <w:pStyle w:val="ListBullet2"/>
            </w:pPr>
            <w:r w:rsidRPr="00C33E4D">
              <w:t xml:space="preserve">bills of exchange and their implications </w:t>
            </w:r>
          </w:p>
          <w:p w:rsidR="00000000" w:rsidRPr="00C33E4D" w:rsidP="00C33E4D">
            <w:pPr>
              <w:pStyle w:val="ListBullet2"/>
            </w:pPr>
            <w:r w:rsidRPr="00C33E4D">
              <w:t xml:space="preserve">letters of credit and their implications for cargo movement and customs broking activities </w:t>
            </w:r>
          </w:p>
          <w:p w:rsidR="00000000" w:rsidRPr="00C33E4D" w:rsidP="00C33E4D">
            <w:pPr>
              <w:pStyle w:val="ListBullet"/>
            </w:pPr>
            <w:r w:rsidRPr="00C33E4D">
              <w:t>procedures for handling pillages, damage and/or loss</w:t>
            </w:r>
          </w:p>
          <w:p w:rsidR="00000000" w:rsidRPr="00C33E4D" w:rsidP="00C33E4D">
            <w:pPr>
              <w:pStyle w:val="ListBullet"/>
            </w:pPr>
            <w:r w:rsidRPr="00C33E4D">
              <w:t>relevant customs and related legislation and codes for importing cargo</w:t>
            </w:r>
          </w:p>
          <w:p w:rsidR="00000000" w:rsidRPr="00C33E4D" w:rsidP="00C33E4D">
            <w:pPr>
              <w:pStyle w:val="ListBullet"/>
            </w:pPr>
            <w:r w:rsidRPr="00C33E4D">
              <w:t>role of parties involved in international cargo movement including:</w:t>
            </w:r>
          </w:p>
          <w:p w:rsidR="00000000" w:rsidRPr="00C33E4D" w:rsidP="00C33E4D">
            <w:pPr>
              <w:pStyle w:val="ListBullet2"/>
            </w:pPr>
            <w:r w:rsidRPr="00C33E4D">
              <w:t>World Customs Organization (WCO)</w:t>
            </w:r>
          </w:p>
          <w:p w:rsidR="00000000" w:rsidRPr="00C33E4D" w:rsidP="00C33E4D">
            <w:pPr>
              <w:pStyle w:val="ListBullet2"/>
            </w:pPr>
            <w:r w:rsidRPr="00C33E4D">
              <w:t>World Trade Organization (WTO)</w:t>
            </w:r>
          </w:p>
          <w:p w:rsidR="00000000" w:rsidRPr="00C33E4D" w:rsidP="00C33E4D">
            <w:pPr>
              <w:pStyle w:val="ListBullet"/>
            </w:pPr>
            <w:r w:rsidRPr="00C33E4D">
              <w:t>safety of transport activities including:</w:t>
            </w:r>
          </w:p>
          <w:p w:rsidR="00000000" w:rsidRPr="00C33E4D" w:rsidP="00C33E4D">
            <w:pPr>
              <w:pStyle w:val="ListBullet2"/>
            </w:pPr>
            <w:r w:rsidRPr="00C33E4D">
              <w:t>transpor</w:t>
            </w:r>
            <w:r w:rsidRPr="00C33E4D">
              <w:t>t activities as defined by the Heavy Vehicle National Law (HVNL) or applicable state/territory law and regulations</w:t>
            </w:r>
          </w:p>
          <w:p w:rsidR="00000000" w:rsidRPr="00C33E4D" w:rsidP="00C33E4D">
            <w:pPr>
              <w:pStyle w:val="ListBullet2"/>
            </w:pPr>
            <w:r w:rsidRPr="00C33E4D">
              <w:t>parties in the chain of responsibility and the concept of level of influence and control.</w:t>
            </w:r>
          </w:p>
        </w:tc>
      </w:tr>
    </w:tbl>
    <w:p w:rsidR="00000000" w:rsidRPr="00C33E4D" w:rsidP="00C33E4D">
      <w:pPr>
        <w:pStyle w:val="NoPaddingFontSize1"/>
      </w:pPr>
    </w:p>
    <w:p w:rsidR="00000000" w:rsidRPr="00C33E4D" w:rsidP="00C33E4D">
      <w:pPr>
        <w:pStyle w:val="AllowPageBreak"/>
      </w:pPr>
    </w:p>
    <w:p w:rsidR="00000000" w:rsidRPr="00C33E4D" w:rsidP="00C33E4D">
      <w:pPr>
        <w:pStyle w:val="Heading1"/>
      </w:pPr>
      <w:bookmarkStart w:id="14" w:name="O_1232576"/>
      <w:bookmarkEnd w:id="14"/>
      <w:r w:rsidRPr="00C33E4D">
        <w:t>Assessment Conditions</w:t>
      </w:r>
    </w:p>
    <w:tbl>
      <w:tblPr>
        <w:tblW w:w="9497" w:type="dxa"/>
        <w:tblLayout w:type="fixed"/>
        <w:tblCellMar>
          <w:left w:w="62" w:type="dxa"/>
          <w:right w:w="62" w:type="dxa"/>
        </w:tblCellMar>
        <w:tblLook w:val="0000"/>
      </w:tblPr>
      <w:tblGrid>
        <w:gridCol w:w="9497"/>
      </w:tblGrid>
      <w:tr w:rsidTr="00C33E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E4D" w:rsidP="00C33E4D">
            <w:pPr>
              <w:pStyle w:val="BodyText"/>
            </w:pPr>
            <w:r w:rsidRPr="00C33E4D">
              <w:t xml:space="preserve">Assessors must hold credentials specified within the Standards for Registered Training Organisations </w:t>
            </w:r>
            <w:r w:rsidRPr="00C33E4D">
              <w:t xml:space="preserve">current at the time of assessment. </w:t>
            </w:r>
          </w:p>
          <w:p w:rsidR="00000000" w:rsidRPr="00C33E4D" w:rsidP="00C33E4D">
            <w:pPr>
              <w:pStyle w:val="BodyText"/>
            </w:pPr>
            <w:r w:rsidRPr="00C33E4D">
              <w:t>Assessment must satisfy the Principles of Assessment and Rules of Evidence and all regulatory requirements included wit</w:t>
            </w:r>
            <w:r w:rsidRPr="00C33E4D">
              <w:t>hin the Standards for Registered Training Organisations current at the time of assessment.</w:t>
            </w:r>
          </w:p>
          <w:p w:rsidR="00000000" w:rsidRPr="00C33E4D" w:rsidP="00C33E4D">
            <w:pPr>
              <w:pStyle w:val="BodyText"/>
            </w:pPr>
            <w:r w:rsidRPr="00C33E4D">
              <w:t>Assessment must occur in workplace operational situations where it is appropriate to do so; where this is not appropriate, assessment must occur in simulated workpla</w:t>
            </w:r>
            <w:r w:rsidRPr="00C33E4D">
              <w:t>ce operational situations that replicate workplace conditions.</w:t>
            </w:r>
          </w:p>
          <w:p w:rsidR="00000000" w:rsidRPr="00C33E4D" w:rsidP="00C33E4D">
            <w:pPr>
              <w:pStyle w:val="BodyText"/>
            </w:pPr>
            <w:r w:rsidRPr="00C33E4D">
              <w:t>Assessment processes and techniques must be appropriate to the language, literacy and numeracy requirements of the work being performed and the needs of the candidate.</w:t>
            </w:r>
          </w:p>
          <w:p w:rsidR="00000000" w:rsidRPr="00C33E4D" w:rsidP="00C33E4D">
            <w:pPr>
              <w:pStyle w:val="BodyText"/>
            </w:pPr>
            <w:r w:rsidRPr="00C33E4D">
              <w:t xml:space="preserve">Resources for assessment </w:t>
            </w:r>
            <w:r w:rsidRPr="00C33E4D">
              <w:t>must include access to:</w:t>
            </w:r>
          </w:p>
          <w:p w:rsidR="00000000" w:rsidRPr="00C33E4D" w:rsidP="00C33E4D">
            <w:pPr>
              <w:pStyle w:val="ListBullet"/>
            </w:pPr>
            <w:r w:rsidRPr="00C33E4D">
              <w:t>a range of relevant exercises, case studies and/or simulations</w:t>
            </w:r>
          </w:p>
          <w:p w:rsidR="00000000" w:rsidRPr="00C33E4D" w:rsidP="00C33E4D">
            <w:pPr>
              <w:pStyle w:val="ListBullet"/>
            </w:pPr>
            <w:r w:rsidRPr="00C33E4D">
              <w:t>applicable documentation including workplace procedures, regulations, codes of practice and operation manuals.</w:t>
            </w:r>
          </w:p>
        </w:tc>
      </w:tr>
    </w:tbl>
    <w:p w:rsidR="00B34744" w:rsidP="00C33E4D">
      <w:pPr>
        <w:pStyle w:val="NoPaddingFontSize1"/>
      </w:pPr>
    </w:p>
    <w:p w:rsidR="00B34744" w:rsidP="00C33E4D">
      <w:pPr>
        <w:pStyle w:val="NoPaddingFontSize1"/>
      </w:pPr>
    </w:p>
    <w:p w:rsidR="00000000" w:rsidRPr="00C33E4D" w:rsidP="00C33E4D">
      <w:pPr>
        <w:pStyle w:val="Heading1"/>
      </w:pPr>
      <w:bookmarkStart w:id="15" w:name="O_1232579"/>
      <w:bookmarkEnd w:id="15"/>
      <w:r w:rsidRPr="00C33E4D">
        <w:t>Links</w:t>
      </w:r>
    </w:p>
    <w:p w:rsidR="00000000" w:rsidRPr="00C33E4D" w:rsidP="00B34744">
      <w:pPr>
        <w:pStyle w:val="BodyText"/>
      </w:pPr>
      <w:r w:rsidRPr="00C33E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620E">
        <w:rPr>
          <w:rStyle w:val="Hyperlink"/>
        </w:rPr>
        <w:t>https://vetnet.gov.au/Pages/TrainingDocs.aspx?q=df441c6e-213d-43e3-874c-0b3f7036d851</w:t>
      </w:r>
      <w:r>
        <w:fldChar w:fldCharType="end"/>
      </w:r>
    </w:p>
    <w:p w:rsidR="00000000" w:rsidRPr="00C33E4D" w:rsidP="00C33E4D"/>
    <w:sectPr w:rsidSect="00C33E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D" w:rsidRPr="00B34744" w:rsidP="00B34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44" w:rsidP="00C33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4744" w:rsidP="00C33E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34744" w:rsidP="00C33E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D" w:rsidP="00C33E4D">
    <w:pPr>
      <w:pStyle w:val="Footer"/>
      <w:framePr w:wrap="around"/>
    </w:pPr>
    <w:r>
      <w:fldChar w:fldCharType="begin"/>
    </w:r>
    <w:r>
      <w:instrText xml:space="preserve"> DOCPROPERTY  Subject  \* MERGEFORMAT </w:instrText>
    </w:r>
    <w:r>
      <w:fldChar w:fldCharType="separate"/>
    </w:r>
    <w:r w:rsidR="00B34744">
      <w:t>Approved</w:t>
    </w:r>
    <w:r w:rsidR="00B34744">
      <w:fldChar w:fldCharType="end"/>
    </w:r>
    <w:r>
      <w:tab/>
      <w:t xml:space="preserve">Page </w:t>
    </w:r>
    <w:r>
      <w:fldChar w:fldCharType="begin"/>
    </w:r>
    <w:r>
      <w:instrText xml:space="preserve"> PAGE  \* Arabic  \* MERGEFORMAT </w:instrText>
    </w:r>
    <w:r>
      <w:fldChar w:fldCharType="separate"/>
    </w:r>
    <w:r w:rsidR="00B347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744">
      <w:rPr>
        <w:noProof/>
      </w:rPr>
      <w:t>5</w:t>
    </w:r>
    <w:r>
      <w:rPr>
        <w:noProof/>
      </w:rPr>
      <w:fldChar w:fldCharType="end"/>
    </w:r>
  </w:p>
  <w:p w:rsidR="00C33E4D" w:rsidP="00C33E4D">
    <w:pPr>
      <w:pStyle w:val="Footer"/>
      <w:framePr w:wrap="around"/>
    </w:pPr>
    <w:r>
      <w:t xml:space="preserve">© Commonwealth of Australia, </w:t>
    </w:r>
    <w:r>
      <w:fldChar w:fldCharType="begin"/>
    </w:r>
    <w:r>
      <w:instrText xml:space="preserve"> DATE  \@ "yyyy"  \* MERGEFORMAT </w:instrText>
    </w:r>
    <w:r>
      <w:fldChar w:fldCharType="separate"/>
    </w:r>
    <w:r w:rsidR="00B34744">
      <w:rPr>
        <w:noProof/>
      </w:rPr>
      <w:t>2025</w:t>
    </w:r>
    <w:r>
      <w:fldChar w:fldCharType="end"/>
    </w:r>
    <w:r>
      <w:tab/>
    </w:r>
    <w:r>
      <w:fldChar w:fldCharType="begin"/>
    </w:r>
    <w:r>
      <w:instrText xml:space="preserve"> DOCPROPERTY  Author  \* MERGEFORMAT </w:instrText>
    </w:r>
    <w:r>
      <w:fldChar w:fldCharType="separate"/>
    </w:r>
    <w:r w:rsidR="00B34744">
      <w:t>Industry Skills Australia</w:t>
    </w:r>
    <w:r w:rsidR="00B34744">
      <w:fldChar w:fldCharType="end"/>
    </w:r>
  </w:p>
  <w:p w:rsidR="00C33E4D" w:rsidP="00C33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E4D" w:rsidRPr="00B34744" w:rsidP="00B34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44" w:rsidRPr="002D2AF8" w:rsidP="00C33E4D">
    <w:pPr>
      <w:pStyle w:val="Header"/>
      <w:framePr w:wrap="around"/>
    </w:pPr>
    <w:r>
      <w:fldChar w:fldCharType="begin"/>
    </w:r>
    <w:r>
      <w:instrText xml:space="preserve"> TITLE   \* MERGEFORMAT </w:instrText>
    </w:r>
    <w:r>
      <w:fldChar w:fldCharType="separate"/>
    </w:r>
    <w:r>
      <w:t>TLIX0035 Apply knowledge of border clearance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4744" w:rsidP="00C33E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4D" w:rsidRPr="002D2AF8" w:rsidP="00C33E4D">
    <w:pPr>
      <w:pStyle w:val="Header"/>
      <w:framePr w:wrap="around"/>
    </w:pPr>
    <w:r>
      <w:fldChar w:fldCharType="begin"/>
    </w:r>
    <w:r>
      <w:instrText xml:space="preserve"> TITLE   \* MERGEFORMAT </w:instrText>
    </w:r>
    <w:r>
      <w:fldChar w:fldCharType="separate"/>
    </w:r>
    <w:r w:rsidR="00B34744">
      <w:t>TLIX0035 Apply knowledge of border clearance fundamentals</w:t>
    </w:r>
    <w:r w:rsidR="00B34744">
      <w:fldChar w:fldCharType="end"/>
    </w:r>
    <w:r>
      <w:tab/>
      <w:t xml:space="preserve">Date this document was generated: </w:t>
    </w:r>
    <w:r>
      <w:fldChar w:fldCharType="begin"/>
    </w:r>
    <w:r>
      <w:instrText xml:space="preserve"> CREATEDATE  \@ "d MMMM yyyy"  \* MERGEFORMAT </w:instrText>
    </w:r>
    <w:r>
      <w:fldChar w:fldCharType="separate"/>
    </w:r>
    <w:r w:rsidR="00B34744">
      <w:rPr>
        <w:noProof/>
      </w:rPr>
      <w:t>2 March 2025</w:t>
    </w:r>
    <w:r>
      <w:fldChar w:fldCharType="end"/>
    </w:r>
  </w:p>
  <w:p w:rsidR="00C33E4D" w:rsidP="00C33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8B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47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60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E4D"/>
    <w:pPr>
      <w:spacing w:before="360" w:after="60"/>
      <w:outlineLvl w:val="0"/>
    </w:pPr>
    <w:rPr>
      <w:sz w:val="32"/>
    </w:rPr>
  </w:style>
  <w:style w:type="paragraph" w:styleId="Heading2">
    <w:name w:val="heading 2"/>
    <w:basedOn w:val="HeadingBase"/>
    <w:next w:val="BodyText"/>
    <w:link w:val="Heading2Char"/>
    <w:qFormat/>
    <w:rsid w:val="00C33E4D"/>
    <w:pPr>
      <w:keepLines/>
      <w:spacing w:before="240" w:after="120"/>
      <w:outlineLvl w:val="1"/>
    </w:pPr>
    <w:rPr>
      <w:sz w:val="28"/>
      <w:szCs w:val="40"/>
    </w:rPr>
  </w:style>
  <w:style w:type="paragraph" w:styleId="Heading3">
    <w:name w:val="heading 3"/>
    <w:basedOn w:val="HeadingBase"/>
    <w:next w:val="BodyText"/>
    <w:link w:val="Heading3Char"/>
    <w:qFormat/>
    <w:rsid w:val="00C33E4D"/>
    <w:pPr>
      <w:spacing w:before="180" w:after="120"/>
      <w:outlineLvl w:val="2"/>
    </w:pPr>
    <w:rPr>
      <w:spacing w:val="-10"/>
      <w:kern w:val="32"/>
    </w:rPr>
  </w:style>
  <w:style w:type="paragraph" w:styleId="Heading4">
    <w:name w:val="heading 4"/>
    <w:basedOn w:val="HeadingBase"/>
    <w:next w:val="BodyText"/>
    <w:link w:val="Heading4Char"/>
    <w:qFormat/>
    <w:rsid w:val="00C33E4D"/>
    <w:pPr>
      <w:spacing w:before="160" w:after="120"/>
      <w:outlineLvl w:val="3"/>
    </w:pPr>
    <w:rPr>
      <w:sz w:val="22"/>
    </w:rPr>
  </w:style>
  <w:style w:type="paragraph" w:styleId="Heading5">
    <w:name w:val="heading 5"/>
    <w:basedOn w:val="HeadingBase"/>
    <w:next w:val="Normal"/>
    <w:link w:val="Heading5Char"/>
    <w:qFormat/>
    <w:rsid w:val="00C33E4D"/>
    <w:pPr>
      <w:spacing w:before="80"/>
      <w:outlineLvl w:val="4"/>
    </w:pPr>
    <w:rPr>
      <w:color w:val="918585"/>
      <w:sz w:val="20"/>
    </w:rPr>
  </w:style>
  <w:style w:type="paragraph" w:styleId="Heading6">
    <w:name w:val="heading 6"/>
    <w:basedOn w:val="HeadingBase"/>
    <w:next w:val="Normal"/>
    <w:link w:val="Heading6Char"/>
    <w:qFormat/>
    <w:rsid w:val="00C33E4D"/>
    <w:pPr>
      <w:spacing w:before="60"/>
      <w:outlineLvl w:val="5"/>
    </w:pPr>
    <w:rPr>
      <w:color w:val="918585"/>
      <w:sz w:val="20"/>
    </w:rPr>
  </w:style>
  <w:style w:type="paragraph" w:styleId="Heading7">
    <w:name w:val="heading 7"/>
    <w:basedOn w:val="Normal"/>
    <w:next w:val="Normal"/>
    <w:link w:val="Heading7Char"/>
    <w:qFormat/>
    <w:rsid w:val="00C33E4D"/>
    <w:pPr>
      <w:ind w:left="720"/>
      <w:outlineLvl w:val="6"/>
    </w:pPr>
    <w:rPr>
      <w:i/>
    </w:rPr>
  </w:style>
  <w:style w:type="paragraph" w:styleId="Heading8">
    <w:name w:val="heading 8"/>
    <w:basedOn w:val="Normal"/>
    <w:next w:val="Normal"/>
    <w:link w:val="Heading8Char"/>
    <w:qFormat/>
    <w:rsid w:val="00C33E4D"/>
    <w:pPr>
      <w:ind w:left="720"/>
      <w:outlineLvl w:val="7"/>
    </w:pPr>
    <w:rPr>
      <w:i/>
    </w:rPr>
  </w:style>
  <w:style w:type="paragraph" w:styleId="Heading9">
    <w:name w:val="heading 9"/>
    <w:basedOn w:val="Normal"/>
    <w:next w:val="Normal"/>
    <w:link w:val="Heading9Char"/>
    <w:qFormat/>
    <w:rsid w:val="00C33E4D"/>
    <w:pPr>
      <w:ind w:left="720"/>
      <w:outlineLvl w:val="8"/>
    </w:pPr>
    <w:rPr>
      <w:i/>
    </w:rPr>
  </w:style>
  <w:style w:type="character" w:default="1" w:styleId="DefaultParagraphFont">
    <w:name w:val="Default Paragraph Font"/>
    <w:uiPriority w:val="1"/>
    <w:unhideWhenUsed/>
    <w:rsid w:val="00C33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E4D"/>
  </w:style>
  <w:style w:type="character" w:customStyle="1" w:styleId="Heading1Char">
    <w:name w:val="Heading 1 Char"/>
    <w:basedOn w:val="DefaultParagraphFont"/>
    <w:link w:val="Heading1"/>
    <w:rsid w:val="00C33E4D"/>
    <w:rPr>
      <w:rFonts w:ascii="Times New Roman" w:eastAsia="Times New Roman" w:hAnsi="Times New Roman" w:cs="Times New Roman"/>
      <w:b/>
      <w:sz w:val="32"/>
      <w:szCs w:val="20"/>
      <w:lang w:eastAsia="en-US"/>
    </w:rPr>
  </w:style>
  <w:style w:type="paragraph" w:styleId="BodyText">
    <w:name w:val="Body Text"/>
    <w:basedOn w:val="Normal"/>
    <w:link w:val="BodyTextChar"/>
    <w:rsid w:val="00C33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E4D"/>
    <w:rPr>
      <w:rFonts w:ascii="Times New Roman" w:eastAsia="Times New Roman" w:hAnsi="Times New Roman" w:cs="Times New Roman"/>
      <w:sz w:val="24"/>
      <w:lang w:eastAsia="en-US"/>
    </w:rPr>
  </w:style>
  <w:style w:type="paragraph" w:styleId="ListBullet">
    <w:name w:val="List Bullet"/>
    <w:basedOn w:val="List"/>
    <w:rsid w:val="00C33E4D"/>
    <w:pPr>
      <w:numPr>
        <w:numId w:val="12"/>
      </w:numPr>
      <w:tabs>
        <w:tab w:val="clear" w:pos="340"/>
      </w:tabs>
      <w:spacing w:before="40" w:after="40"/>
    </w:pPr>
  </w:style>
  <w:style w:type="character" w:customStyle="1" w:styleId="SpecialBold">
    <w:name w:val="Special Bold"/>
    <w:basedOn w:val="DefaultParagraphFont"/>
    <w:rsid w:val="00C33E4D"/>
    <w:rPr>
      <w:b/>
      <w:spacing w:val="0"/>
    </w:rPr>
  </w:style>
  <w:style w:type="paragraph" w:styleId="ListBullet2">
    <w:name w:val="List Bullet 2"/>
    <w:basedOn w:val="List2"/>
    <w:rsid w:val="00C33E4D"/>
    <w:pPr>
      <w:numPr>
        <w:numId w:val="13"/>
      </w:numPr>
      <w:tabs>
        <w:tab w:val="clear" w:pos="680"/>
      </w:tabs>
    </w:pPr>
  </w:style>
  <w:style w:type="paragraph" w:customStyle="1" w:styleId="SuperHeading">
    <w:name w:val="SuperHeading"/>
    <w:basedOn w:val="Normal"/>
    <w:rsid w:val="00C33E4D"/>
    <w:pPr>
      <w:spacing w:before="240" w:after="120"/>
      <w:outlineLvl w:val="0"/>
    </w:pPr>
    <w:rPr>
      <w:rFonts w:ascii="Times New Roman" w:hAnsi="Times New Roman"/>
      <w:b/>
      <w:sz w:val="32"/>
    </w:rPr>
  </w:style>
  <w:style w:type="paragraph" w:customStyle="1" w:styleId="AllowPageBreak">
    <w:name w:val="AllowPageBreak"/>
    <w:rsid w:val="00C33E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3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E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E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E4D"/>
    <w:rPr>
      <w:rFonts w:ascii="Courier New" w:eastAsia="Times New Roman" w:hAnsi="Courier New" w:cs="Times New Roman"/>
      <w:i/>
      <w:szCs w:val="20"/>
      <w:lang w:eastAsia="en-US"/>
    </w:rPr>
  </w:style>
  <w:style w:type="paragraph" w:customStyle="1" w:styleId="HeadingBase">
    <w:name w:val="Heading Base"/>
    <w:rsid w:val="00C33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E4D"/>
    <w:pPr>
      <w:tabs>
        <w:tab w:val="right" w:leader="dot" w:pos="9072"/>
      </w:tabs>
      <w:ind w:left="567"/>
    </w:pPr>
    <w:rPr>
      <w:szCs w:val="22"/>
    </w:rPr>
  </w:style>
  <w:style w:type="paragraph" w:customStyle="1" w:styleId="TOCBase">
    <w:name w:val="TOC Base"/>
    <w:rsid w:val="00C33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E4D"/>
    <w:pPr>
      <w:tabs>
        <w:tab w:val="right" w:leader="dot" w:pos="9072"/>
      </w:tabs>
      <w:spacing w:before="40" w:after="40"/>
      <w:ind w:left="284"/>
    </w:pPr>
    <w:rPr>
      <w:rFonts w:ascii="Times New Roman" w:hAnsi="Times New Roman"/>
    </w:rPr>
  </w:style>
  <w:style w:type="paragraph" w:styleId="TOC1">
    <w:name w:val="toc 1"/>
    <w:basedOn w:val="TOCBase"/>
    <w:next w:val="Normal"/>
    <w:rsid w:val="00C33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E4D"/>
    <w:rPr>
      <w:rFonts w:ascii="Times New Roman" w:eastAsia="Times New Roman" w:hAnsi="Times New Roman" w:cs="Times New Roman"/>
      <w:sz w:val="16"/>
      <w:lang w:eastAsia="en-US"/>
    </w:rPr>
  </w:style>
  <w:style w:type="paragraph" w:styleId="Title">
    <w:name w:val="Title"/>
    <w:basedOn w:val="HeadingBase"/>
    <w:link w:val="TitleChar"/>
    <w:qFormat/>
    <w:rsid w:val="00C33E4D"/>
    <w:pPr>
      <w:spacing w:before="5040"/>
      <w:jc w:val="center"/>
    </w:pPr>
    <w:rPr>
      <w:sz w:val="48"/>
      <w:szCs w:val="72"/>
      <w:lang w:val="en-US"/>
    </w:rPr>
  </w:style>
  <w:style w:type="character" w:customStyle="1" w:styleId="TitleChar">
    <w:name w:val="Title Char"/>
    <w:basedOn w:val="DefaultParagraphFont"/>
    <w:link w:val="Title"/>
    <w:rsid w:val="00C33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E4D"/>
    <w:pPr>
      <w:tabs>
        <w:tab w:val="left" w:pos="3600"/>
        <w:tab w:val="left" w:pos="3958"/>
      </w:tabs>
    </w:pPr>
  </w:style>
  <w:style w:type="paragraph" w:styleId="List">
    <w:name w:val="List"/>
    <w:basedOn w:val="BodyText"/>
    <w:next w:val="BodyText"/>
    <w:rsid w:val="00C33E4D"/>
    <w:pPr>
      <w:tabs>
        <w:tab w:val="left" w:pos="340"/>
      </w:tabs>
      <w:spacing w:before="60" w:after="60"/>
      <w:ind w:left="340" w:hanging="340"/>
    </w:pPr>
  </w:style>
  <w:style w:type="paragraph" w:customStyle="1" w:styleId="Note">
    <w:name w:val="Note"/>
    <w:basedOn w:val="BodyText"/>
    <w:rsid w:val="00C33E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E4D"/>
    <w:pPr>
      <w:framePr w:wrap="auto" w:hAnchor="text" w:y="6049"/>
    </w:pPr>
    <w:rPr>
      <w:color w:val="000000"/>
      <w:sz w:val="40"/>
    </w:rPr>
  </w:style>
  <w:style w:type="paragraph" w:customStyle="1" w:styleId="TOCTitle">
    <w:name w:val="TOCTitle"/>
    <w:basedOn w:val="Heading1"/>
    <w:rsid w:val="00C33E4D"/>
    <w:pPr>
      <w:spacing w:after="240"/>
      <w:jc w:val="center"/>
      <w:outlineLvl w:val="9"/>
    </w:pPr>
    <w:rPr>
      <w:caps/>
    </w:rPr>
  </w:style>
  <w:style w:type="paragraph" w:customStyle="1" w:styleId="Version">
    <w:name w:val="Version"/>
    <w:rsid w:val="00C33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E4D"/>
    <w:pPr>
      <w:keepNext w:val="0"/>
      <w:tabs>
        <w:tab w:val="right" w:pos="4176"/>
      </w:tabs>
      <w:ind w:left="198" w:hanging="198"/>
    </w:pPr>
    <w:rPr>
      <w:rFonts w:ascii="Garamond" w:hAnsi="Garamond"/>
    </w:rPr>
  </w:style>
  <w:style w:type="paragraph" w:styleId="IndexHeading">
    <w:name w:val="index heading"/>
    <w:basedOn w:val="Normal"/>
    <w:next w:val="Index1"/>
    <w:semiHidden/>
    <w:rsid w:val="00C33E4D"/>
    <w:pPr>
      <w:spacing w:before="120" w:after="120"/>
    </w:pPr>
    <w:rPr>
      <w:rFonts w:ascii="Arial" w:hAnsi="Arial"/>
      <w:b/>
      <w:color w:val="918585"/>
      <w:sz w:val="24"/>
    </w:rPr>
  </w:style>
  <w:style w:type="paragraph" w:styleId="Header">
    <w:name w:val="header"/>
    <w:basedOn w:val="Normal"/>
    <w:link w:val="HeaderChar"/>
    <w:rsid w:val="00C33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E4D"/>
    <w:rPr>
      <w:rFonts w:ascii="Times New Roman" w:eastAsia="Times New Roman" w:hAnsi="Times New Roman" w:cs="Times New Roman"/>
      <w:sz w:val="16"/>
      <w:szCs w:val="20"/>
      <w:lang w:val="en-GB" w:eastAsia="en-US"/>
    </w:rPr>
  </w:style>
  <w:style w:type="paragraph" w:customStyle="1" w:styleId="Chapter">
    <w:name w:val="Chapter"/>
    <w:basedOn w:val="Normal"/>
    <w:rsid w:val="00C33E4D"/>
    <w:pPr>
      <w:spacing w:before="240"/>
    </w:pPr>
    <w:rPr>
      <w:rFonts w:ascii="Times New Roman" w:hAnsi="Times New Roman"/>
      <w:smallCaps/>
      <w:spacing w:val="80"/>
      <w:sz w:val="28"/>
    </w:rPr>
  </w:style>
  <w:style w:type="paragraph" w:customStyle="1" w:styleId="InChapter">
    <w:name w:val="InChapter"/>
    <w:basedOn w:val="Heading3"/>
    <w:rsid w:val="00C33E4D"/>
    <w:pPr>
      <w:spacing w:after="240"/>
      <w:outlineLvl w:val="9"/>
    </w:pPr>
    <w:rPr>
      <w:noProof/>
    </w:rPr>
  </w:style>
  <w:style w:type="paragraph" w:styleId="Index2">
    <w:name w:val="index 2"/>
    <w:basedOn w:val="Normal"/>
    <w:next w:val="Normal"/>
    <w:semiHidden/>
    <w:rsid w:val="00C33E4D"/>
    <w:pPr>
      <w:tabs>
        <w:tab w:val="right" w:pos="4176"/>
      </w:tabs>
      <w:ind w:left="568" w:hanging="284"/>
    </w:pPr>
    <w:rPr>
      <w:rFonts w:ascii="Garamond" w:hAnsi="Garamond"/>
    </w:rPr>
  </w:style>
  <w:style w:type="paragraph" w:customStyle="1" w:styleId="Byline">
    <w:name w:val="Byline"/>
    <w:rsid w:val="00C33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E4D"/>
    <w:pPr>
      <w:tabs>
        <w:tab w:val="clear" w:pos="3600"/>
        <w:tab w:val="clear" w:pos="3958"/>
      </w:tabs>
      <w:jc w:val="right"/>
    </w:pPr>
  </w:style>
  <w:style w:type="character" w:styleId="Emphasis">
    <w:name w:val="Emphasis"/>
    <w:basedOn w:val="DefaultParagraphFont"/>
    <w:qFormat/>
    <w:rsid w:val="00C33E4D"/>
    <w:rPr>
      <w:i/>
    </w:rPr>
  </w:style>
  <w:style w:type="paragraph" w:styleId="Caption">
    <w:name w:val="caption"/>
    <w:basedOn w:val="BodyText"/>
    <w:next w:val="Normal"/>
    <w:qFormat/>
    <w:rsid w:val="00C33E4D"/>
    <w:pPr>
      <w:framePr w:w="2268" w:hSpace="181" w:vSpace="181" w:wrap="around" w:vAnchor="text" w:hAnchor="page" w:x="1135" w:y="285" w:anchorLock="1"/>
    </w:pPr>
    <w:rPr>
      <w:i/>
    </w:rPr>
  </w:style>
  <w:style w:type="paragraph" w:customStyle="1" w:styleId="MiniTOCTitle">
    <w:name w:val="MiniTOCTitle"/>
    <w:basedOn w:val="Heading4"/>
    <w:rsid w:val="00C33E4D"/>
    <w:pPr>
      <w:spacing w:before="240"/>
      <w:outlineLvl w:val="9"/>
    </w:pPr>
    <w:rPr>
      <w:noProof/>
      <w:sz w:val="24"/>
    </w:rPr>
  </w:style>
  <w:style w:type="paragraph" w:customStyle="1" w:styleId="MiniTOCItem">
    <w:name w:val="MiniTOCItem"/>
    <w:basedOn w:val="ListBullet"/>
    <w:rsid w:val="00C33E4D"/>
    <w:pPr>
      <w:numPr>
        <w:numId w:val="0"/>
      </w:numPr>
      <w:tabs>
        <w:tab w:val="right" w:leader="dot" w:pos="6521"/>
      </w:tabs>
      <w:spacing w:before="0" w:after="0"/>
    </w:pPr>
  </w:style>
  <w:style w:type="paragraph" w:customStyle="1" w:styleId="TOFTitle">
    <w:name w:val="TOFTitle"/>
    <w:basedOn w:val="TOCTitle"/>
    <w:rsid w:val="00C33E4D"/>
  </w:style>
  <w:style w:type="paragraph" w:styleId="TableofFigures">
    <w:name w:val="table of figures"/>
    <w:basedOn w:val="Normal"/>
    <w:next w:val="Normal"/>
    <w:semiHidden/>
    <w:rsid w:val="00C33E4D"/>
    <w:pPr>
      <w:tabs>
        <w:tab w:val="right" w:leader="dot" w:pos="9072"/>
      </w:tabs>
      <w:ind w:left="970" w:hanging="403"/>
    </w:pPr>
    <w:rPr>
      <w:rFonts w:ascii="Times New Roman" w:hAnsi="Times New Roman"/>
      <w:b/>
    </w:rPr>
  </w:style>
  <w:style w:type="paragraph" w:styleId="ListNumber">
    <w:name w:val="List Number"/>
    <w:basedOn w:val="List"/>
    <w:rsid w:val="00C33E4D"/>
    <w:pPr>
      <w:numPr>
        <w:numId w:val="15"/>
      </w:numPr>
      <w:tabs>
        <w:tab w:val="clear" w:pos="340"/>
      </w:tabs>
    </w:pPr>
  </w:style>
  <w:style w:type="character" w:customStyle="1" w:styleId="WingdingSymbols">
    <w:name w:val="Wingding Symbols"/>
    <w:rsid w:val="00C33E4D"/>
    <w:rPr>
      <w:rFonts w:ascii="Wingdings" w:hAnsi="Wingdings"/>
    </w:rPr>
  </w:style>
  <w:style w:type="paragraph" w:customStyle="1" w:styleId="TableHeading">
    <w:name w:val="Table Heading"/>
    <w:basedOn w:val="HeadingBase"/>
    <w:rsid w:val="00C33E4D"/>
    <w:pPr>
      <w:keepLines/>
      <w:pBdr>
        <w:bottom w:val="single" w:sz="6" w:space="1" w:color="918585"/>
      </w:pBdr>
      <w:spacing w:before="240"/>
    </w:pPr>
  </w:style>
  <w:style w:type="character" w:customStyle="1" w:styleId="HotSpot">
    <w:name w:val="HotSpot"/>
    <w:rsid w:val="00C33E4D"/>
    <w:rPr>
      <w:color w:val="0033CC"/>
      <w:u w:val="none"/>
    </w:rPr>
  </w:style>
  <w:style w:type="paragraph" w:customStyle="1" w:styleId="BodyTextRight">
    <w:name w:val="Body Text Right"/>
    <w:basedOn w:val="BodyText"/>
    <w:rsid w:val="00C33E4D"/>
    <w:pPr>
      <w:spacing w:before="0" w:after="0"/>
      <w:jc w:val="right"/>
    </w:pPr>
  </w:style>
  <w:style w:type="paragraph" w:styleId="Index3">
    <w:name w:val="index 3"/>
    <w:basedOn w:val="ListNumber2"/>
    <w:next w:val="Normal"/>
    <w:semiHidden/>
    <w:rsid w:val="00C33E4D"/>
    <w:pPr>
      <w:numPr>
        <w:numId w:val="0"/>
      </w:numPr>
      <w:tabs>
        <w:tab w:val="right" w:leader="dot" w:pos="4176"/>
      </w:tabs>
    </w:pPr>
  </w:style>
  <w:style w:type="paragraph" w:styleId="ListNumber2">
    <w:name w:val="List Number 2"/>
    <w:basedOn w:val="List2"/>
    <w:rsid w:val="00C33E4D"/>
    <w:pPr>
      <w:numPr>
        <w:numId w:val="10"/>
      </w:numPr>
      <w:tabs>
        <w:tab w:val="clear" w:pos="1060"/>
      </w:tabs>
    </w:pPr>
  </w:style>
  <w:style w:type="paragraph" w:customStyle="1" w:styleId="MarginNote">
    <w:name w:val="Margin Note"/>
    <w:basedOn w:val="BodyText"/>
    <w:rsid w:val="00C33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E4D"/>
    <w:rPr>
      <w:sz w:val="32"/>
    </w:rPr>
  </w:style>
  <w:style w:type="paragraph" w:customStyle="1" w:styleId="HeadingProcedure">
    <w:name w:val="Heading Procedure"/>
    <w:basedOn w:val="HeadingBase"/>
    <w:next w:val="Normal"/>
    <w:rsid w:val="00C33E4D"/>
    <w:pPr>
      <w:tabs>
        <w:tab w:val="left" w:pos="0"/>
      </w:tabs>
      <w:spacing w:before="120" w:after="60"/>
    </w:pPr>
    <w:rPr>
      <w:i/>
      <w:color w:val="918585"/>
      <w:sz w:val="22"/>
    </w:rPr>
  </w:style>
  <w:style w:type="paragraph" w:customStyle="1" w:styleId="TableBodyText">
    <w:name w:val="Table Body Text"/>
    <w:basedOn w:val="BodyText"/>
    <w:rsid w:val="00C33E4D"/>
    <w:pPr>
      <w:spacing w:before="60" w:after="60"/>
    </w:pPr>
  </w:style>
  <w:style w:type="paragraph" w:styleId="ListContinue">
    <w:name w:val="List Continue"/>
    <w:basedOn w:val="List"/>
    <w:rsid w:val="00C33E4D"/>
    <w:pPr>
      <w:ind w:firstLine="0"/>
    </w:pPr>
  </w:style>
  <w:style w:type="paragraph" w:customStyle="1" w:styleId="ListNote">
    <w:name w:val="List Note"/>
    <w:basedOn w:val="List"/>
    <w:rsid w:val="00C33E4D"/>
    <w:pPr>
      <w:pBdr>
        <w:top w:val="single" w:sz="6" w:space="2" w:color="918585"/>
        <w:bottom w:val="single" w:sz="6" w:space="2" w:color="918585"/>
      </w:pBdr>
      <w:tabs>
        <w:tab w:val="left" w:pos="1021"/>
      </w:tabs>
      <w:ind w:firstLine="0"/>
    </w:pPr>
  </w:style>
  <w:style w:type="paragraph" w:customStyle="1" w:styleId="Warning">
    <w:name w:val="Warning"/>
    <w:basedOn w:val="BodyText"/>
    <w:rsid w:val="00C33E4D"/>
    <w:pPr>
      <w:shd w:val="clear" w:color="auto" w:fill="D9D9D9"/>
      <w:tabs>
        <w:tab w:val="left" w:pos="992"/>
      </w:tabs>
      <w:ind w:left="119" w:right="119"/>
    </w:pPr>
    <w:rPr>
      <w:sz w:val="20"/>
    </w:rPr>
  </w:style>
  <w:style w:type="paragraph" w:customStyle="1" w:styleId="MarginIcons">
    <w:name w:val="Margin Icons"/>
    <w:basedOn w:val="BodyText"/>
    <w:rsid w:val="00C33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E4D"/>
    <w:rPr>
      <w:rFonts w:ascii="Courier New" w:hAnsi="Courier New"/>
    </w:rPr>
  </w:style>
  <w:style w:type="paragraph" w:customStyle="1" w:styleId="NoteBullet">
    <w:name w:val="Note Bullet"/>
    <w:basedOn w:val="Note"/>
    <w:rsid w:val="00C33E4D"/>
    <w:pPr>
      <w:tabs>
        <w:tab w:val="clear" w:pos="680"/>
      </w:tabs>
      <w:spacing w:before="60" w:after="60"/>
    </w:pPr>
  </w:style>
  <w:style w:type="paragraph" w:customStyle="1" w:styleId="SubHeading2">
    <w:name w:val="SubHeading2"/>
    <w:basedOn w:val="HeadingBase"/>
    <w:rsid w:val="00C33E4D"/>
    <w:pPr>
      <w:spacing w:before="240" w:after="60"/>
    </w:pPr>
    <w:rPr>
      <w:sz w:val="20"/>
    </w:rPr>
  </w:style>
  <w:style w:type="paragraph" w:customStyle="1" w:styleId="SubHeading1">
    <w:name w:val="SubHeading1"/>
    <w:basedOn w:val="HeadingBase"/>
    <w:rsid w:val="00C33E4D"/>
    <w:pPr>
      <w:spacing w:before="240" w:after="60"/>
    </w:pPr>
    <w:rPr>
      <w:color w:val="918585"/>
      <w:sz w:val="22"/>
    </w:rPr>
  </w:style>
  <w:style w:type="paragraph" w:customStyle="1" w:styleId="SideHeading">
    <w:name w:val="Side Heading"/>
    <w:basedOn w:val="HeadingBase"/>
    <w:rsid w:val="00C33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E4D"/>
    <w:pPr>
      <w:tabs>
        <w:tab w:val="num" w:pos="360"/>
      </w:tabs>
    </w:pPr>
  </w:style>
  <w:style w:type="paragraph" w:styleId="PlainText">
    <w:name w:val="Plain Text"/>
    <w:basedOn w:val="Normal"/>
    <w:link w:val="PlainTextChar"/>
    <w:rsid w:val="00C33E4D"/>
    <w:rPr>
      <w:sz w:val="20"/>
    </w:rPr>
  </w:style>
  <w:style w:type="character" w:customStyle="1" w:styleId="PlainTextChar">
    <w:name w:val="Plain Text Char"/>
    <w:basedOn w:val="DefaultParagraphFont"/>
    <w:link w:val="PlainText"/>
    <w:rsid w:val="00C33E4D"/>
    <w:rPr>
      <w:rFonts w:ascii="Courier New" w:eastAsia="Times New Roman" w:hAnsi="Courier New" w:cs="Times New Roman"/>
      <w:sz w:val="20"/>
      <w:szCs w:val="20"/>
      <w:lang w:eastAsia="en-US"/>
    </w:rPr>
  </w:style>
  <w:style w:type="character" w:customStyle="1" w:styleId="MenuOption">
    <w:name w:val="Menu Option"/>
    <w:basedOn w:val="DefaultParagraphFont"/>
    <w:rsid w:val="00C33E4D"/>
    <w:rPr>
      <w:b/>
      <w:smallCaps/>
    </w:rPr>
  </w:style>
  <w:style w:type="paragraph" w:customStyle="1" w:styleId="TableListNumber">
    <w:name w:val="Table List Number"/>
    <w:basedOn w:val="ListNumber"/>
    <w:rsid w:val="00C33E4D"/>
    <w:pPr>
      <w:numPr>
        <w:numId w:val="0"/>
      </w:numPr>
    </w:pPr>
  </w:style>
  <w:style w:type="paragraph" w:styleId="TOC4">
    <w:name w:val="toc 4"/>
    <w:basedOn w:val="TOCBase"/>
    <w:next w:val="Normal"/>
    <w:semiHidden/>
    <w:rsid w:val="00C33E4D"/>
    <w:pPr>
      <w:tabs>
        <w:tab w:val="right" w:leader="dot" w:pos="9071"/>
      </w:tabs>
      <w:ind w:left="1701"/>
    </w:pPr>
  </w:style>
  <w:style w:type="paragraph" w:customStyle="1" w:styleId="ListAlpha">
    <w:name w:val="List Alpha"/>
    <w:basedOn w:val="List"/>
    <w:rsid w:val="00C33E4D"/>
    <w:pPr>
      <w:numPr>
        <w:numId w:val="9"/>
      </w:numPr>
    </w:pPr>
  </w:style>
  <w:style w:type="paragraph" w:customStyle="1" w:styleId="ListAlpha2">
    <w:name w:val="List Alpha 2"/>
    <w:basedOn w:val="List2"/>
    <w:rsid w:val="00C33E4D"/>
    <w:pPr>
      <w:numPr>
        <w:numId w:val="8"/>
      </w:numPr>
    </w:pPr>
  </w:style>
  <w:style w:type="paragraph" w:styleId="List2">
    <w:name w:val="List 2"/>
    <w:basedOn w:val="BodyText"/>
    <w:rsid w:val="00C33E4D"/>
    <w:pPr>
      <w:tabs>
        <w:tab w:val="left" w:pos="680"/>
      </w:tabs>
      <w:spacing w:before="60" w:after="60"/>
      <w:ind w:left="680" w:hanging="340"/>
    </w:pPr>
  </w:style>
  <w:style w:type="paragraph" w:styleId="List3">
    <w:name w:val="List 3"/>
    <w:basedOn w:val="BodyText"/>
    <w:rsid w:val="00C33E4D"/>
    <w:pPr>
      <w:tabs>
        <w:tab w:val="left" w:pos="1021"/>
      </w:tabs>
      <w:spacing w:before="60" w:after="60"/>
      <w:ind w:left="1020" w:hanging="340"/>
    </w:pPr>
  </w:style>
  <w:style w:type="paragraph" w:styleId="List4">
    <w:name w:val="List 4"/>
    <w:basedOn w:val="BodyText"/>
    <w:rsid w:val="00C33E4D"/>
    <w:pPr>
      <w:tabs>
        <w:tab w:val="left" w:pos="1361"/>
      </w:tabs>
      <w:spacing w:before="60" w:after="60"/>
      <w:ind w:left="1361" w:hanging="340"/>
    </w:pPr>
  </w:style>
  <w:style w:type="paragraph" w:styleId="List5">
    <w:name w:val="List 5"/>
    <w:basedOn w:val="BodyText"/>
    <w:rsid w:val="00C33E4D"/>
    <w:pPr>
      <w:tabs>
        <w:tab w:val="left" w:pos="1701"/>
      </w:tabs>
      <w:spacing w:before="60" w:after="60"/>
      <w:ind w:left="1701" w:hanging="340"/>
    </w:pPr>
  </w:style>
  <w:style w:type="paragraph" w:styleId="ListBullet3">
    <w:name w:val="List Bullet 3"/>
    <w:basedOn w:val="List3"/>
    <w:rsid w:val="00C33E4D"/>
    <w:pPr>
      <w:numPr>
        <w:numId w:val="14"/>
      </w:numPr>
      <w:tabs>
        <w:tab w:val="clear" w:pos="1021"/>
      </w:tabs>
      <w:ind w:left="1037" w:hanging="357"/>
    </w:pPr>
  </w:style>
  <w:style w:type="paragraph" w:styleId="ListBullet4">
    <w:name w:val="List Bullet 4"/>
    <w:basedOn w:val="List4"/>
    <w:rsid w:val="00C33E4D"/>
    <w:pPr>
      <w:numPr>
        <w:numId w:val="3"/>
      </w:numPr>
      <w:tabs>
        <w:tab w:val="clear" w:pos="1361"/>
      </w:tabs>
    </w:pPr>
  </w:style>
  <w:style w:type="paragraph" w:styleId="ListBullet5">
    <w:name w:val="List Bullet 5"/>
    <w:basedOn w:val="List5"/>
    <w:rsid w:val="00C33E4D"/>
    <w:pPr>
      <w:numPr>
        <w:numId w:val="4"/>
      </w:numPr>
    </w:pPr>
  </w:style>
  <w:style w:type="paragraph" w:styleId="ListContinue2">
    <w:name w:val="List Continue 2"/>
    <w:basedOn w:val="List2"/>
    <w:rsid w:val="00C33E4D"/>
    <w:pPr>
      <w:ind w:firstLine="0"/>
    </w:pPr>
  </w:style>
  <w:style w:type="paragraph" w:styleId="ListContinue3">
    <w:name w:val="List Continue 3"/>
    <w:basedOn w:val="List3"/>
    <w:rsid w:val="00C33E4D"/>
    <w:pPr>
      <w:ind w:left="1021" w:firstLine="0"/>
    </w:pPr>
  </w:style>
  <w:style w:type="paragraph" w:styleId="ListContinue4">
    <w:name w:val="List Continue 4"/>
    <w:basedOn w:val="List4"/>
    <w:rsid w:val="00C33E4D"/>
    <w:pPr>
      <w:ind w:firstLine="0"/>
    </w:pPr>
  </w:style>
  <w:style w:type="paragraph" w:styleId="ListContinue5">
    <w:name w:val="List Continue 5"/>
    <w:basedOn w:val="List5"/>
    <w:rsid w:val="00C33E4D"/>
    <w:pPr>
      <w:ind w:firstLine="0"/>
    </w:pPr>
  </w:style>
  <w:style w:type="paragraph" w:styleId="ListNumber3">
    <w:name w:val="List Number 3"/>
    <w:basedOn w:val="List3"/>
    <w:rsid w:val="00C33E4D"/>
    <w:pPr>
      <w:numPr>
        <w:numId w:val="5"/>
      </w:numPr>
    </w:pPr>
  </w:style>
  <w:style w:type="paragraph" w:styleId="ListNumber4">
    <w:name w:val="List Number 4"/>
    <w:basedOn w:val="List4"/>
    <w:rsid w:val="00C33E4D"/>
    <w:pPr>
      <w:numPr>
        <w:numId w:val="6"/>
      </w:numPr>
    </w:pPr>
  </w:style>
  <w:style w:type="paragraph" w:styleId="ListNumber5">
    <w:name w:val="List Number 5"/>
    <w:basedOn w:val="List5"/>
    <w:rsid w:val="00C33E4D"/>
    <w:pPr>
      <w:numPr>
        <w:numId w:val="7"/>
      </w:numPr>
    </w:pPr>
  </w:style>
  <w:style w:type="paragraph" w:styleId="BlockText">
    <w:name w:val="Block Text"/>
    <w:basedOn w:val="Normal"/>
    <w:rsid w:val="00C33E4D"/>
    <w:pPr>
      <w:spacing w:after="120"/>
      <w:ind w:left="1440" w:right="1440"/>
    </w:pPr>
  </w:style>
  <w:style w:type="character" w:customStyle="1" w:styleId="Subscript">
    <w:name w:val="Subscript"/>
    <w:basedOn w:val="DefaultParagraphFont"/>
    <w:rsid w:val="00C33E4D"/>
    <w:rPr>
      <w:sz w:val="16"/>
      <w:vertAlign w:val="subscript"/>
    </w:rPr>
  </w:style>
  <w:style w:type="character" w:customStyle="1" w:styleId="Superscript">
    <w:name w:val="Superscript"/>
    <w:basedOn w:val="DefaultParagraphFont"/>
    <w:rsid w:val="00C33E4D"/>
    <w:rPr>
      <w:sz w:val="16"/>
      <w:vertAlign w:val="superscript"/>
    </w:rPr>
  </w:style>
  <w:style w:type="character" w:customStyle="1" w:styleId="Symbols">
    <w:name w:val="Symbols"/>
    <w:basedOn w:val="DefaultParagraphFont"/>
    <w:rsid w:val="00C33E4D"/>
    <w:rPr>
      <w:rFonts w:ascii="Symbol" w:hAnsi="Symbol"/>
    </w:rPr>
  </w:style>
  <w:style w:type="character" w:customStyle="1" w:styleId="MenuOptions">
    <w:name w:val="Menu Options"/>
    <w:basedOn w:val="DefaultParagraphFont"/>
    <w:rsid w:val="00C33E4D"/>
    <w:rPr>
      <w:rFonts w:ascii="Arial Narrow" w:hAnsi="Arial Narrow"/>
      <w:smallCaps/>
    </w:rPr>
  </w:style>
  <w:style w:type="character" w:customStyle="1" w:styleId="Buttons">
    <w:name w:val="Buttons"/>
    <w:basedOn w:val="DefaultParagraphFont"/>
    <w:rsid w:val="00C33E4D"/>
    <w:rPr>
      <w:b/>
    </w:rPr>
  </w:style>
  <w:style w:type="character" w:customStyle="1" w:styleId="Underlined">
    <w:name w:val="Underlined"/>
    <w:basedOn w:val="DefaultParagraphFont"/>
    <w:rsid w:val="00C33E4D"/>
    <w:rPr>
      <w:u w:val="single"/>
    </w:rPr>
  </w:style>
  <w:style w:type="paragraph" w:customStyle="1" w:styleId="TableBodyTextRight">
    <w:name w:val="Table Body Text Right"/>
    <w:basedOn w:val="TableBodyText"/>
    <w:rsid w:val="00C33E4D"/>
    <w:pPr>
      <w:widowControl w:val="0"/>
      <w:autoSpaceDE w:val="0"/>
      <w:autoSpaceDN w:val="0"/>
      <w:adjustRightInd w:val="0"/>
      <w:jc w:val="right"/>
    </w:pPr>
    <w:rPr>
      <w:rFonts w:cs="Arial"/>
      <w:szCs w:val="18"/>
    </w:rPr>
  </w:style>
  <w:style w:type="paragraph" w:customStyle="1" w:styleId="CopyrightText">
    <w:name w:val="Copyright Text"/>
    <w:basedOn w:val="BodyText"/>
    <w:rsid w:val="00C33E4D"/>
    <w:rPr>
      <w:sz w:val="18"/>
    </w:rPr>
  </w:style>
  <w:style w:type="paragraph" w:customStyle="1" w:styleId="BodySmallRight">
    <w:name w:val="Body Small Right"/>
    <w:basedOn w:val="BodyTextRight"/>
    <w:rsid w:val="00C33E4D"/>
    <w:rPr>
      <w:sz w:val="18"/>
      <w:szCs w:val="18"/>
    </w:rPr>
  </w:style>
  <w:style w:type="paragraph" w:customStyle="1" w:styleId="MarginEdition">
    <w:name w:val="Margin Edition"/>
    <w:basedOn w:val="MarginNote"/>
    <w:rsid w:val="00C33E4D"/>
    <w:pPr>
      <w:spacing w:before="0" w:after="0"/>
    </w:pPr>
    <w:rPr>
      <w:rFonts w:ascii="Times New Roman" w:hAnsi="Times New Roman"/>
      <w:color w:val="999999"/>
    </w:rPr>
  </w:style>
  <w:style w:type="paragraph" w:customStyle="1" w:styleId="Spacer">
    <w:name w:val="Spacer"/>
    <w:basedOn w:val="Normal"/>
    <w:rsid w:val="00C33E4D"/>
    <w:rPr>
      <w:sz w:val="2"/>
      <w:szCs w:val="2"/>
    </w:rPr>
  </w:style>
  <w:style w:type="character" w:customStyle="1" w:styleId="Small">
    <w:name w:val="Small"/>
    <w:basedOn w:val="DefaultParagraphFont"/>
    <w:rsid w:val="00C33E4D"/>
    <w:rPr>
      <w:sz w:val="16"/>
    </w:rPr>
  </w:style>
  <w:style w:type="paragraph" w:customStyle="1" w:styleId="WideTable">
    <w:name w:val="Wide Table"/>
    <w:basedOn w:val="Normal"/>
    <w:rsid w:val="00C33E4D"/>
    <w:pPr>
      <w:ind w:left="-1418"/>
    </w:pPr>
    <w:rPr>
      <w:sz w:val="2"/>
      <w:szCs w:val="2"/>
    </w:rPr>
  </w:style>
  <w:style w:type="character" w:styleId="PageNumber">
    <w:name w:val="page number"/>
    <w:basedOn w:val="DefaultParagraphFont"/>
    <w:rsid w:val="00C33E4D"/>
  </w:style>
  <w:style w:type="paragraph" w:styleId="Quote">
    <w:name w:val="Quote"/>
    <w:basedOn w:val="Heading1"/>
    <w:link w:val="QuoteChar"/>
    <w:qFormat/>
    <w:rsid w:val="00C33E4D"/>
    <w:rPr>
      <w:b w:val="0"/>
      <w:sz w:val="72"/>
      <w:szCs w:val="72"/>
      <w:lang w:val="en-NZ"/>
    </w:rPr>
  </w:style>
  <w:style w:type="character" w:customStyle="1" w:styleId="QuoteChar">
    <w:name w:val="Quote Char"/>
    <w:basedOn w:val="DefaultParagraphFont"/>
    <w:link w:val="Quote"/>
    <w:rsid w:val="00C33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E4D"/>
    <w:pPr>
      <w:pageBreakBefore/>
    </w:pPr>
  </w:style>
  <w:style w:type="paragraph" w:customStyle="1" w:styleId="Border">
    <w:name w:val="Border"/>
    <w:basedOn w:val="Normal"/>
    <w:qFormat/>
    <w:rsid w:val="00C33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E4D"/>
    <w:rPr>
      <w:b/>
      <w:bCs/>
      <w:i/>
      <w:iCs/>
      <w:color w:val="auto"/>
    </w:rPr>
  </w:style>
  <w:style w:type="paragraph" w:styleId="IntenseQuote">
    <w:name w:val="Intense Quote"/>
    <w:basedOn w:val="Normal"/>
    <w:next w:val="Normal"/>
    <w:link w:val="IntenseQuoteChar"/>
    <w:uiPriority w:val="30"/>
    <w:qFormat/>
    <w:rsid w:val="00C33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E4D"/>
    <w:rPr>
      <w:smallCaps/>
      <w:color w:val="auto"/>
      <w:u w:val="single"/>
    </w:rPr>
  </w:style>
  <w:style w:type="character" w:styleId="IntenseReference">
    <w:name w:val="Intense Reference"/>
    <w:basedOn w:val="DefaultParagraphFont"/>
    <w:uiPriority w:val="32"/>
    <w:qFormat/>
    <w:rsid w:val="00C33E4D"/>
    <w:rPr>
      <w:b/>
      <w:bCs/>
      <w:smallCaps/>
      <w:color w:val="auto"/>
      <w:spacing w:val="5"/>
      <w:u w:val="single"/>
    </w:rPr>
  </w:style>
  <w:style w:type="paragraph" w:customStyle="1" w:styleId="2ColumnHeading">
    <w:name w:val="2Column Heading"/>
    <w:basedOn w:val="BodyText"/>
    <w:qFormat/>
    <w:rsid w:val="00C33E4D"/>
    <w:pPr>
      <w:spacing w:after="60"/>
      <w:ind w:left="-2268"/>
    </w:pPr>
    <w:rPr>
      <w:b/>
    </w:rPr>
  </w:style>
  <w:style w:type="paragraph" w:customStyle="1" w:styleId="Heading1TOC">
    <w:name w:val="Heading1 TOC"/>
    <w:basedOn w:val="Normal"/>
    <w:qFormat/>
    <w:rsid w:val="00C33E4D"/>
    <w:pPr>
      <w:spacing w:before="240" w:after="120"/>
    </w:pPr>
    <w:rPr>
      <w:rFonts w:ascii="Times New Roman" w:hAnsi="Times New Roman"/>
      <w:b/>
      <w:sz w:val="32"/>
    </w:rPr>
  </w:style>
  <w:style w:type="paragraph" w:customStyle="1" w:styleId="Heading2TOC">
    <w:name w:val="Heading2 TOC"/>
    <w:basedOn w:val="Normal"/>
    <w:qFormat/>
    <w:rsid w:val="00C33E4D"/>
    <w:pPr>
      <w:spacing w:before="240" w:after="60"/>
    </w:pPr>
    <w:rPr>
      <w:rFonts w:ascii="Times New Roman" w:hAnsi="Times New Roman"/>
      <w:b/>
      <w:sz w:val="28"/>
    </w:rPr>
  </w:style>
  <w:style w:type="character" w:customStyle="1" w:styleId="Underline">
    <w:name w:val="Underline"/>
    <w:basedOn w:val="DefaultParagraphFont"/>
    <w:qFormat/>
    <w:rsid w:val="00C33E4D"/>
    <w:rPr>
      <w:u w:val="single"/>
    </w:rPr>
  </w:style>
  <w:style w:type="character" w:customStyle="1" w:styleId="BoldandItalics">
    <w:name w:val="Bold and Italics"/>
    <w:qFormat/>
    <w:rsid w:val="00C33E4D"/>
    <w:rPr>
      <w:b/>
      <w:i/>
      <w:u w:val="none"/>
    </w:rPr>
  </w:style>
  <w:style w:type="paragraph" w:styleId="BalloonText">
    <w:name w:val="Balloon Text"/>
    <w:basedOn w:val="Normal"/>
    <w:link w:val="BalloonTextChar"/>
    <w:rsid w:val="00C33E4D"/>
    <w:rPr>
      <w:rFonts w:ascii="Tahoma" w:hAnsi="Tahoma" w:cs="Tahoma"/>
      <w:sz w:val="16"/>
      <w:szCs w:val="16"/>
    </w:rPr>
  </w:style>
  <w:style w:type="character" w:customStyle="1" w:styleId="BalloonTextChar">
    <w:name w:val="Balloon Text Char"/>
    <w:basedOn w:val="DefaultParagraphFont"/>
    <w:link w:val="BalloonText"/>
    <w:rsid w:val="00C33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E4D"/>
    <w:rPr>
      <w:b/>
      <w:color w:val="660033"/>
      <w:spacing w:val="0"/>
    </w:rPr>
  </w:style>
  <w:style w:type="paragraph" w:customStyle="1" w:styleId="Nameditemlist">
    <w:name w:val="Named item list"/>
    <w:basedOn w:val="BodyText"/>
    <w:qFormat/>
    <w:rsid w:val="00C33E4D"/>
    <w:pPr>
      <w:tabs>
        <w:tab w:val="left" w:pos="2835"/>
      </w:tabs>
      <w:ind w:left="2835" w:hanging="2835"/>
    </w:pPr>
  </w:style>
  <w:style w:type="paragraph" w:customStyle="1" w:styleId="BodyTextnopadding">
    <w:name w:val="Body Text no padding"/>
    <w:basedOn w:val="BodyText"/>
    <w:qFormat/>
    <w:rsid w:val="00C33E4D"/>
    <w:pPr>
      <w:spacing w:before="0" w:after="0"/>
    </w:pPr>
  </w:style>
  <w:style w:type="paragraph" w:customStyle="1" w:styleId="BodyTextBold">
    <w:name w:val="Body Text Bold"/>
    <w:basedOn w:val="BodyText"/>
    <w:qFormat/>
    <w:rsid w:val="00C33E4D"/>
    <w:rPr>
      <w:b/>
    </w:rPr>
  </w:style>
  <w:style w:type="character" w:styleId="Hyperlink">
    <w:name w:val="Hyperlink"/>
    <w:basedOn w:val="DefaultParagraphFont"/>
    <w:uiPriority w:val="99"/>
    <w:unhideWhenUsed/>
    <w:rsid w:val="00B34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6957</Characters>
  <Application>Microsoft Office Word</Application>
  <DocSecurity>0</DocSecurity>
  <Lines>331</Lines>
  <Paragraphs>171</Paragraphs>
  <ScaleCrop>false</ScaleCrop>
  <Company>Author-it Software Corporation Ltd.</Company>
  <LinksUpToDate>false</LinksUpToDate>
  <CharactersWithSpaces>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TLIX0035 Apply knowledge of border clearance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