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B8E" w:rsidP="00653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TLIX0034X Undertake supply support in integrated logistics</w:t>
      </w:r>
      <w:r>
        <w:fldChar w:fldCharType="end"/>
      </w:r>
    </w:p>
    <w:p w:rsidR="00653B8E" w:rsidP="00653B8E">
      <w:pPr>
        <w:pStyle w:val="Version"/>
        <w:sectPr w:rsidSect="00481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6EB" w:rsidP="004816EB">
      <w:pPr>
        <w:pStyle w:val="SuperHeading"/>
      </w:pPr>
      <w:r w:rsidRPr="004816EB">
        <w:t>TLIX0034X Undertake supply support in integrated logistics</w:t>
      </w:r>
    </w:p>
    <w:p w:rsidR="00000000" w:rsidRPr="004816EB" w:rsidP="004816EB">
      <w:pPr>
        <w:pStyle w:val="Heading1"/>
      </w:pPr>
      <w:bookmarkStart w:id="1" w:name="O_1167716"/>
      <w:bookmarkEnd w:id="1"/>
      <w:r w:rsidRPr="004816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Release 1. This is the first release of this unit of competency in the TLI Transport and Logistics Training Package.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2" w:name="O_1167717"/>
      <w:bookmarkEnd w:id="2"/>
      <w:r w:rsidRPr="004816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 xml:space="preserve">This unit involves the skills and knowledge required to undertake </w:t>
            </w:r>
            <w:r w:rsidRPr="004816EB">
              <w:t xml:space="preserve">supply support in integrated logistics. </w:t>
            </w:r>
          </w:p>
          <w:p w:rsidR="00000000" w:rsidRPr="004816EB" w:rsidP="004816EB">
            <w:pPr>
              <w:pStyle w:val="BodyText"/>
            </w:pPr>
            <w:r w:rsidRPr="004816EB">
              <w:t>This unit covers conducting supply support analysis; producing and maintaining supply support data, documentation and reporting; sourcing, managing and controlling items of supply; and analysing the performance of t</w:t>
            </w:r>
            <w:r w:rsidRPr="004816EB">
              <w:t>he supply support network.</w:t>
            </w:r>
          </w:p>
          <w:p w:rsidR="00000000" w:rsidRPr="004816EB" w:rsidP="004816EB">
            <w:pPr>
              <w:pStyle w:val="BodyText"/>
            </w:pPr>
            <w:r w:rsidRPr="004816EB">
              <w:t>This unit is appropriate for technical specialists supporting integrated logistics functions. Typically, these individuals must demonstrate the ability to work independently or as part of a team under direct and/or indirect super</w:t>
            </w:r>
            <w:r w:rsidRPr="004816EB">
              <w:t>vision, use discretion and judgement, and take responsibility for the quality of their outputs. All activities are carried out in accordance with relevant policy and procedures.</w:t>
            </w:r>
          </w:p>
          <w:p w:rsidR="00000000" w:rsidRPr="004816EB" w:rsidP="004816EB">
            <w:pPr>
              <w:pStyle w:val="BodyText"/>
            </w:pPr>
            <w:r w:rsidRPr="004816EB">
              <w:t xml:space="preserve">No licensing, legislative or certification requirements apply to this unit at </w:t>
            </w:r>
            <w:r w:rsidRPr="004816EB">
              <w:t>the time of publication.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3" w:name="O_1167718"/>
      <w:bookmarkEnd w:id="3"/>
      <w:r w:rsidRPr="004816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Not applicable.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4" w:name="O_1167719"/>
      <w:bookmarkEnd w:id="4"/>
      <w:r w:rsidRPr="004816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X – Logistics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5" w:name="O_1167720"/>
      <w:bookmarkEnd w:id="5"/>
      <w:r w:rsidRPr="004816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Integrated logistics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6" w:name="O_1167721"/>
      <w:bookmarkEnd w:id="6"/>
      <w:r w:rsidRPr="004816E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PERFORMANCE CRITERIA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Performance criteria describe the performance needed to demonstrate achievement of the element.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 xml:space="preserve">Conduct supply support </w:t>
            </w:r>
            <w:r w:rsidRPr="004816EB">
              <w:rPr>
                <w:rStyle w:val="SpecialBold"/>
              </w:rPr>
              <w:t>analysis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 xml:space="preserve">Organisational policies for procurement and supply </w:t>
            </w:r>
            <w:r w:rsidRPr="004816EB">
              <w:t xml:space="preserve">chain are interpreted for each identified item of supply (IoS) class 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Resources required to enable supply services to be conducted are identified from consultation with the integrated logistics supp</w:t>
            </w:r>
            <w:r w:rsidRPr="004816EB">
              <w:t>ort (ILS) team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Stakeholders are identified and consulted to confirm ILS needs for each IoS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Analysis is conducted to determine quantities of each IoS to be held at each location across the support network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Support network is analysed to determine packaging, handling, storage and transportation (PHS&amp;T) requirements, volumetrics and other storage conditions and liabilities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 xml:space="preserve">Standardisation opportunities are identified, and advice provided to engineering </w:t>
            </w:r>
            <w:r w:rsidRPr="004816EB">
              <w:t>support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Entitlements for use and/or consumption of each IoS are determined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Verification and validation of supply support arrangements is completed to confirm they satisfy maintenance policies and regimes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>Produce supply support data, documentation and reporting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Data and documentation requirements for each IoS are determined in accordance with organisational policies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Sources of information relevant to supply support are identified and relevant information is obtained in accordance with policies and procedures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Provisioning technical documentation is developed, including assemblies parts lists and outfit allowance</w:t>
            </w:r>
            <w:r w:rsidRPr="004816EB">
              <w:t xml:space="preserve"> lists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Data is obtained, and codification and cataloguing conducted for each IoS in accordance with organisational policy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Details are identified, analysed and documented for each IoS in accordance with organisational policies and procedures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 xml:space="preserve">Logistics information management systems are </w:t>
            </w:r>
            <w:r w:rsidRPr="004816EB">
              <w:t>populated with IoS and related management data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Required item quantities are identified, analysed and documented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Stocktake plans and reports are prepared in accordance with organisational policies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Alignment of supply support data to engineering support data and maintenance support data is maintained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>Source, manage and control items of supply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Sourcing of</w:t>
            </w:r>
            <w:r w:rsidRPr="004816EB">
              <w:t xml:space="preserve"> required IoS is planned and conducted in accordance with organisational policies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Receipt of IoS is conducted in accordance with organisational policies and procedures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Distribution of IoS is conducted in accordance with organisational policies and procedures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Issuing of IoS is conducted in accordance with organisational policies and procedures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Transfer of IoS is conducted in accordance with organisational po</w:t>
            </w:r>
            <w:r w:rsidRPr="004816EB">
              <w:t>licies and procedures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Disposal activities are planned and conducted in accordance with organisational policies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Obsolescence of each IoS is planned in accordance with organisational policies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Rotatable pool management regime is developed to support the usage upkeep cycle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rPr>
                <w:rStyle w:val="SpecialBold"/>
              </w:rPr>
              <w:t xml:space="preserve">Analyse the performance of the supply support network and plan corrective actions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 xml:space="preserve">Analysis of supply network performance is conducted in accordance with organisational </w:t>
            </w:r>
            <w:r w:rsidRPr="004816EB">
              <w:t>policies and results documented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>Corrective actions to improve supply network performance are planned, documented and submitted for approval in accordance with organisational policies</w:t>
            </w:r>
          </w:p>
        </w:tc>
      </w:tr>
      <w:tr w:rsidTr="004816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ILS team are briefed, and approved corrective actions imple</w:t>
            </w:r>
            <w:r w:rsidRPr="004816EB">
              <w:t>mented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7" w:name="O_1167722"/>
      <w:bookmarkEnd w:id="7"/>
      <w:r w:rsidRPr="004816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Foundation skills essential to performance are explicit in the performance criteria of this unit of competency.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8" w:name="O_1167723"/>
      <w:bookmarkEnd w:id="8"/>
      <w:r w:rsidRPr="004816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Range is restricted to essential operating conditions and any other variables essential to the work environment.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9" w:name="O_1167724"/>
      <w:bookmarkEnd w:id="9"/>
      <w:r w:rsidRPr="004816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This is a new unit. No equivalent unit.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10" w:name="O_1167731"/>
      <w:bookmarkEnd w:id="10"/>
      <w:r w:rsidRPr="004816EB">
        <w:t>Links</w:t>
      </w:r>
    </w:p>
    <w:p w:rsidR="00000000" w:rsidRPr="004816EB" w:rsidP="00653B8E">
      <w:pPr>
        <w:pStyle w:val="BodyText"/>
      </w:pPr>
      <w:r w:rsidRPr="004816EB">
        <w:t>Companion Volume Implementat</w:t>
      </w:r>
      <w:r w:rsidRPr="004816EB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02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16EB" w:rsidP="00653B8E">
      <w:pPr>
        <w:pStyle w:val="BodyText"/>
        <w:sectPr w:rsidSect="004816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16EB" w:rsidP="004816EB">
      <w:pPr>
        <w:pStyle w:val="SuperHeading"/>
      </w:pPr>
      <w:r w:rsidRPr="004816EB">
        <w:t>Assessment Requirements for TLIX0034X Undertake supply support in integrated logistics</w:t>
      </w:r>
    </w:p>
    <w:p w:rsidR="00000000" w:rsidRPr="004816EB" w:rsidP="004816EB">
      <w:pPr>
        <w:pStyle w:val="Heading1"/>
      </w:pPr>
      <w:bookmarkStart w:id="11" w:name="O_1167726"/>
      <w:bookmarkEnd w:id="11"/>
      <w:r w:rsidRPr="004816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Release 1. This is the first release of this unit of competency in the TLI Transport and Logistics Training Package.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12" w:name="O_1167727"/>
      <w:bookmarkEnd w:id="12"/>
      <w:r w:rsidRPr="004816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 xml:space="preserve">Evidence required to demonstrate competence in this unit </w:t>
            </w:r>
            <w:r w:rsidRPr="004816EB">
              <w:t xml:space="preserve">must be relevant to and satisfy all of the requirements of the elements and performance criteria on at least two separate occasions and include: </w:t>
            </w:r>
          </w:p>
        </w:tc>
      </w:tr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ListBullet"/>
            </w:pPr>
            <w:r w:rsidRPr="004816EB">
              <w:t>conducting supply support analysis, including:</w:t>
            </w:r>
          </w:p>
          <w:p w:rsidR="00000000" w:rsidRPr="004816EB" w:rsidP="004816EB">
            <w:pPr>
              <w:pStyle w:val="ListBullet2"/>
            </w:pPr>
            <w:r w:rsidRPr="004816EB">
              <w:t>item of supply (IoS) class</w:t>
            </w:r>
          </w:p>
          <w:p w:rsidR="00000000" w:rsidRPr="004816EB" w:rsidP="004816EB">
            <w:pPr>
              <w:pStyle w:val="ListBullet2"/>
            </w:pPr>
            <w:r w:rsidRPr="004816EB">
              <w:t>supply service resource requirements</w:t>
            </w:r>
          </w:p>
          <w:p w:rsidR="00000000" w:rsidRPr="004816EB" w:rsidP="004816EB">
            <w:pPr>
              <w:pStyle w:val="ListBullet2"/>
            </w:pPr>
            <w:r w:rsidRPr="004816EB">
              <w:t>logistics support needs</w:t>
            </w:r>
          </w:p>
          <w:p w:rsidR="00000000" w:rsidRPr="004816EB" w:rsidP="004816EB">
            <w:pPr>
              <w:pStyle w:val="ListBullet2"/>
            </w:pPr>
            <w:r w:rsidRPr="004816EB">
              <w:t>quantities and locations for each IoS</w:t>
            </w:r>
          </w:p>
          <w:p w:rsidR="00000000" w:rsidRPr="004816EB" w:rsidP="004816EB">
            <w:pPr>
              <w:pStyle w:val="ListBullet2"/>
            </w:pPr>
            <w:r w:rsidRPr="004816EB">
              <w:t>packaging, handling, storage and transportation (PHS&amp;T) requirements</w:t>
            </w:r>
          </w:p>
          <w:p w:rsidR="00000000" w:rsidRPr="004816EB" w:rsidP="004816EB">
            <w:pPr>
              <w:pStyle w:val="ListBullet2"/>
            </w:pPr>
            <w:r w:rsidRPr="004816EB">
              <w:t>entitlements for each IoS</w:t>
            </w:r>
          </w:p>
          <w:p w:rsidR="00000000" w:rsidRPr="004816EB" w:rsidP="004816EB">
            <w:pPr>
              <w:pStyle w:val="ListBullet"/>
            </w:pPr>
            <w:r w:rsidRPr="004816EB">
              <w:t>producing supply support data, documentation and reporting, i</w:t>
            </w:r>
            <w:r w:rsidRPr="004816EB">
              <w:t>ncluding:</w:t>
            </w:r>
          </w:p>
          <w:p w:rsidR="00000000" w:rsidRPr="004816EB" w:rsidP="004816EB">
            <w:pPr>
              <w:pStyle w:val="ListBullet2"/>
            </w:pPr>
            <w:r w:rsidRPr="004816EB">
              <w:t>determining IoS documentation requirements</w:t>
            </w:r>
          </w:p>
          <w:p w:rsidR="00000000" w:rsidRPr="004816EB" w:rsidP="004816EB">
            <w:pPr>
              <w:pStyle w:val="ListBullet2"/>
            </w:pPr>
            <w:r w:rsidRPr="004816EB">
              <w:t>developing provisioning technical documentation, including assemblies parts lists and outfit allowance lists</w:t>
            </w:r>
          </w:p>
          <w:p w:rsidR="00000000" w:rsidRPr="004816EB" w:rsidP="004816EB">
            <w:pPr>
              <w:pStyle w:val="ListBullet2"/>
            </w:pPr>
            <w:r w:rsidRPr="004816EB">
              <w:t>developing recommended provisioning lists</w:t>
            </w:r>
          </w:p>
          <w:p w:rsidR="00000000" w:rsidRPr="004816EB" w:rsidP="004816EB">
            <w:pPr>
              <w:pStyle w:val="ListBullet2"/>
            </w:pPr>
            <w:r w:rsidRPr="004816EB">
              <w:t>codifying and cataloguing each IoS</w:t>
            </w:r>
          </w:p>
          <w:p w:rsidR="00000000" w:rsidRPr="004816EB" w:rsidP="004816EB">
            <w:pPr>
              <w:pStyle w:val="ListBullet2"/>
            </w:pPr>
            <w:r w:rsidRPr="004816EB">
              <w:t>populating logis</w:t>
            </w:r>
            <w:r w:rsidRPr="004816EB">
              <w:t>tics information management system</w:t>
            </w:r>
          </w:p>
          <w:p w:rsidR="00000000" w:rsidRPr="004816EB" w:rsidP="004816EB">
            <w:pPr>
              <w:pStyle w:val="ListBullet2"/>
            </w:pPr>
            <w:r w:rsidRPr="004816EB">
              <w:t>stocktake plans and reports</w:t>
            </w:r>
          </w:p>
          <w:p w:rsidR="00000000" w:rsidRPr="004816EB" w:rsidP="004816EB">
            <w:pPr>
              <w:pStyle w:val="ListBullet"/>
            </w:pPr>
            <w:r w:rsidRPr="004816EB">
              <w:t>sourcing, managing and controlling IoS</w:t>
            </w:r>
          </w:p>
          <w:p w:rsidR="00000000" w:rsidRPr="004816EB" w:rsidP="004816EB">
            <w:pPr>
              <w:pStyle w:val="ListBullet"/>
            </w:pPr>
            <w:r w:rsidRPr="004816EB">
              <w:t>analysing the performance of the supply support network, planning and implementing corrective actions</w:t>
            </w:r>
          </w:p>
          <w:p w:rsidR="00000000" w:rsidRPr="004816EB" w:rsidP="004816EB">
            <w:pPr>
              <w:pStyle w:val="ListBullet"/>
            </w:pPr>
            <w:r w:rsidRPr="004816EB">
              <w:t>undertaking disposal planning.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13" w:name="O_1167728"/>
      <w:bookmarkEnd w:id="13"/>
      <w:r w:rsidRPr="004816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EB">
            <w:pPr>
              <w:pStyle w:val="BodyText"/>
              <w:rPr>
                <w:lang w:val="en-NZ"/>
              </w:rPr>
            </w:pPr>
            <w:r w:rsidRPr="004816EB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ListBullet"/>
            </w:pPr>
            <w:r w:rsidRPr="004816EB">
              <w:t>organisational manuals, policies and procedur</w:t>
            </w:r>
            <w:r w:rsidRPr="004816EB">
              <w:t>es relevant to supply support</w:t>
            </w:r>
          </w:p>
          <w:p w:rsidR="00000000" w:rsidRPr="004816EB" w:rsidP="004816EB">
            <w:pPr>
              <w:pStyle w:val="ListBullet"/>
            </w:pPr>
            <w:r w:rsidRPr="004816EB">
              <w:t>industry standards relevant to supply support</w:t>
            </w:r>
          </w:p>
          <w:p w:rsidR="00000000" w:rsidRPr="004816EB" w:rsidP="004816EB">
            <w:pPr>
              <w:pStyle w:val="ListBullet"/>
            </w:pPr>
            <w:r w:rsidRPr="004816EB">
              <w:t>supply support concepts and practices</w:t>
            </w:r>
          </w:p>
          <w:p w:rsidR="00000000" w:rsidRPr="004816EB" w:rsidP="004816EB">
            <w:pPr>
              <w:pStyle w:val="ListBullet"/>
            </w:pPr>
            <w:r w:rsidRPr="004816EB">
              <w:t>supply support analysis and modelling techniques</w:t>
            </w:r>
          </w:p>
          <w:p w:rsidR="00000000" w:rsidRPr="004816EB" w:rsidP="004816EB">
            <w:pPr>
              <w:pStyle w:val="ListBullet"/>
            </w:pPr>
            <w:r w:rsidRPr="004816EB">
              <w:t>supply support management and planning techniques</w:t>
            </w:r>
          </w:p>
          <w:p w:rsidR="00000000" w:rsidRPr="004816EB" w:rsidP="004816EB">
            <w:pPr>
              <w:pStyle w:val="ListBullet"/>
            </w:pPr>
            <w:r w:rsidRPr="004816EB">
              <w:t xml:space="preserve">factors to be considered in supply support </w:t>
            </w:r>
            <w:r w:rsidRPr="004816EB">
              <w:t>planning and management</w:t>
            </w:r>
          </w:p>
          <w:p w:rsidR="00000000" w:rsidRPr="004816EB" w:rsidP="004816EB">
            <w:pPr>
              <w:pStyle w:val="ListBullet"/>
            </w:pPr>
            <w:r w:rsidRPr="004816EB">
              <w:t xml:space="preserve">supply support information management systems and reporting </w:t>
            </w:r>
          </w:p>
          <w:p w:rsidR="00000000" w:rsidRPr="004816EB" w:rsidP="004816EB">
            <w:pPr>
              <w:pStyle w:val="ListBullet"/>
            </w:pPr>
            <w:r w:rsidRPr="004816EB">
              <w:t>techniques for analysis of supply support resources, including hardware; software; materiel; facilities; personnel; processes and data to be sourced, acquired, managed and</w:t>
            </w:r>
            <w:r w:rsidRPr="004816EB">
              <w:t xml:space="preserve"> supplied to enable supply services to be conducted</w:t>
            </w:r>
          </w:p>
          <w:p w:rsidR="00000000" w:rsidRPr="004816EB" w:rsidP="004816EB">
            <w:pPr>
              <w:pStyle w:val="ListBullet"/>
            </w:pPr>
            <w:r w:rsidRPr="004816EB">
              <w:t>logistics support needs for each IoS, including specifications and standards, quality assurance (QA) processes, inspection requirements, timings, locations, constraints and assumptions</w:t>
            </w:r>
          </w:p>
          <w:p w:rsidR="00000000" w:rsidRPr="004816EB" w:rsidP="004816EB">
            <w:pPr>
              <w:pStyle w:val="ListBullet"/>
            </w:pPr>
            <w:r w:rsidRPr="004816EB">
              <w:t>storage conditions and liabilities, including problematic IoS, shelf-life limited supplies, temperature sensitive items and security requirements</w:t>
            </w:r>
          </w:p>
          <w:p w:rsidR="00000000" w:rsidRPr="004816EB" w:rsidP="004816EB">
            <w:pPr>
              <w:pStyle w:val="ListBullet"/>
            </w:pPr>
            <w:r w:rsidRPr="004816EB">
              <w:t>auditing and stocktake obligations</w:t>
            </w:r>
          </w:p>
          <w:p w:rsidR="00000000" w:rsidRPr="004816EB" w:rsidP="004816EB">
            <w:pPr>
              <w:pStyle w:val="ListBullet"/>
            </w:pPr>
            <w:r w:rsidRPr="004816EB">
              <w:t>factors that can influence supply network performance, including stocking l</w:t>
            </w:r>
            <w:r w:rsidRPr="004816EB">
              <w:t>evels, demand satisfaction rate, supply chain lag, supplier performance and warehousing conditions.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14" w:name="O_1167729"/>
      <w:bookmarkEnd w:id="14"/>
      <w:r w:rsidRPr="004816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EB" w:rsidP="004816EB">
            <w:pPr>
              <w:pStyle w:val="BodyText"/>
            </w:pPr>
            <w:r w:rsidRPr="004816EB">
              <w:t>As a minimum, assessors must satisfy applicable regulatory requirements, which include requirements in the Stand</w:t>
            </w:r>
            <w:r w:rsidRPr="004816EB">
              <w:t xml:space="preserve">ards for Registered Training Organisations current at the time of assessment. </w:t>
            </w:r>
          </w:p>
          <w:p w:rsidR="00000000" w:rsidRPr="004816EB" w:rsidP="004816EB">
            <w:pPr>
              <w:pStyle w:val="BodyText"/>
            </w:pPr>
            <w:r w:rsidRPr="004816EB">
              <w:t>As a minimum, assessment must satisfy applicable regulatory requirements, which include requirements in the Standards for Registered Training Organisations current at the time o</w:t>
            </w:r>
            <w:r w:rsidRPr="004816EB">
              <w:t>f assessment.</w:t>
            </w:r>
          </w:p>
          <w:p w:rsidR="00000000" w:rsidRPr="004816EB" w:rsidP="004816EB">
            <w:pPr>
              <w:pStyle w:val="BodyText"/>
            </w:pPr>
            <w:r w:rsidRPr="004816EB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4816EB" w:rsidP="004816EB">
            <w:pPr>
              <w:pStyle w:val="BodyText"/>
            </w:pPr>
            <w:r w:rsidRPr="004816EB">
              <w:t>Assessment pr</w:t>
            </w:r>
            <w:r w:rsidRPr="004816EB">
              <w:t>ocesses and techniques must be appropriate to the language, literacy and numeracy requirements of the work being performed and the needs of the candidate.</w:t>
            </w:r>
          </w:p>
          <w:p w:rsidR="00000000" w:rsidRPr="004816EB" w:rsidP="004816EB">
            <w:pPr>
              <w:pStyle w:val="BodyText"/>
            </w:pPr>
            <w:r w:rsidRPr="004816EB">
              <w:t>Resources for assessment include:</w:t>
            </w:r>
          </w:p>
          <w:p w:rsidR="00000000" w:rsidRPr="004816EB" w:rsidP="004816EB">
            <w:pPr>
              <w:pStyle w:val="ListBullet"/>
            </w:pPr>
            <w:r w:rsidRPr="004816EB">
              <w:t>a range of relevant exercises, case studies and/or simulations</w:t>
            </w:r>
          </w:p>
          <w:p w:rsidR="00000000" w:rsidRPr="004816EB" w:rsidP="004816EB">
            <w:pPr>
              <w:pStyle w:val="ListBullet"/>
            </w:pPr>
            <w:r w:rsidRPr="004816EB">
              <w:t>applicable documentation, including organisational policies and procedures, legislation, data and/or modelling applicable to integrated logistics support (ILS), industry standards and/or specifications and access to relevant organisational information mana</w:t>
            </w:r>
            <w:r w:rsidRPr="004816EB">
              <w:t>gement systems</w:t>
            </w:r>
          </w:p>
          <w:p w:rsidR="00000000" w:rsidRPr="004816EB" w:rsidP="004816EB">
            <w:pPr>
              <w:pStyle w:val="ListBullet"/>
            </w:pPr>
            <w:r w:rsidRPr="004816EB">
              <w:t>relevant materials, tools, equipment and personal protective equipment (PPE) currently used in industry.</w:t>
            </w:r>
          </w:p>
        </w:tc>
      </w:tr>
    </w:tbl>
    <w:p w:rsidR="00653B8E" w:rsidP="004816EB">
      <w:pPr>
        <w:pStyle w:val="NoPaddingFontSize1"/>
      </w:pPr>
    </w:p>
    <w:p w:rsidR="00653B8E" w:rsidP="004816EB">
      <w:pPr>
        <w:pStyle w:val="NoPaddingFontSize1"/>
      </w:pPr>
    </w:p>
    <w:p w:rsidR="00000000" w:rsidRPr="004816EB" w:rsidP="004816EB">
      <w:pPr>
        <w:pStyle w:val="Heading1"/>
      </w:pPr>
      <w:bookmarkStart w:id="15" w:name="O_1167732"/>
      <w:bookmarkEnd w:id="15"/>
      <w:r w:rsidRPr="004816EB">
        <w:t>Links</w:t>
      </w:r>
    </w:p>
    <w:p w:rsidR="00000000" w:rsidRPr="004816EB" w:rsidP="00653B8E">
      <w:pPr>
        <w:pStyle w:val="BodyText"/>
      </w:pPr>
      <w:r w:rsidRPr="004816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02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16EB" w:rsidP="004816EB"/>
    <w:sectPr w:rsidSect="004816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EB" w:rsidRPr="00653B8E" w:rsidP="00653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8E" w:rsidP="00481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3B8E" w:rsidP="00481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3B8E" w:rsidP="004816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EB" w:rsidP="00481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3B8E">
      <w:t>Approved</w:t>
    </w:r>
    <w:r w:rsidR="00653B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3B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3B8E">
      <w:rPr>
        <w:noProof/>
      </w:rPr>
      <w:t>5</w:t>
    </w:r>
    <w:r>
      <w:rPr>
        <w:noProof/>
      </w:rPr>
      <w:fldChar w:fldCharType="end"/>
    </w:r>
  </w:p>
  <w:p w:rsidR="004816EB" w:rsidP="00481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3B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3B8E">
      <w:t>Industry Skills Australia</w:t>
    </w:r>
    <w:r w:rsidR="00653B8E">
      <w:fldChar w:fldCharType="end"/>
    </w:r>
  </w:p>
  <w:p w:rsidR="004816EB" w:rsidP="00481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6EB" w:rsidRPr="00653B8E" w:rsidP="00653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8E" w:rsidRPr="002D2AF8" w:rsidP="00481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TLIX0034X Undertake supply support in integrated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3B8E" w:rsidP="004816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EB" w:rsidRPr="002D2AF8" w:rsidP="00481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3B8E">
      <w:t>TLIX0034X Undertake supply support in integrated logistics</w:t>
    </w:r>
    <w:r w:rsidR="00653B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3B8E">
      <w:rPr>
        <w:noProof/>
      </w:rPr>
      <w:t>1 March 2025</w:t>
    </w:r>
    <w:r>
      <w:fldChar w:fldCharType="end"/>
    </w:r>
  </w:p>
  <w:p w:rsidR="004816EB" w:rsidP="00481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4E4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8E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8A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6EB"/>
  </w:style>
  <w:style w:type="character" w:customStyle="1" w:styleId="Heading1Char">
    <w:name w:val="Heading 1 Char"/>
    <w:basedOn w:val="DefaultParagraphFont"/>
    <w:link w:val="Heading1"/>
    <w:rsid w:val="00481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6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6EB"/>
    <w:rPr>
      <w:b/>
      <w:spacing w:val="0"/>
    </w:rPr>
  </w:style>
  <w:style w:type="paragraph" w:styleId="ListBullet2">
    <w:name w:val="List Bullet 2"/>
    <w:basedOn w:val="List2"/>
    <w:rsid w:val="004816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1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6EB"/>
    <w:rPr>
      <w:i/>
    </w:rPr>
  </w:style>
  <w:style w:type="paragraph" w:styleId="Caption">
    <w:name w:val="caption"/>
    <w:basedOn w:val="BodyText"/>
    <w:next w:val="Normal"/>
    <w:qFormat/>
    <w:rsid w:val="00481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6EB"/>
  </w:style>
  <w:style w:type="paragraph" w:styleId="TableofFigures">
    <w:name w:val="table of figures"/>
    <w:basedOn w:val="Normal"/>
    <w:next w:val="Normal"/>
    <w:semiHidden/>
    <w:rsid w:val="00481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6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6EB"/>
    <w:rPr>
      <w:rFonts w:ascii="Wingdings" w:hAnsi="Wingdings"/>
    </w:rPr>
  </w:style>
  <w:style w:type="paragraph" w:customStyle="1" w:styleId="TableHeading">
    <w:name w:val="Table Heading"/>
    <w:basedOn w:val="HeadingBase"/>
    <w:rsid w:val="00481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6EB"/>
    <w:rPr>
      <w:color w:val="0033CC"/>
      <w:u w:val="none"/>
    </w:rPr>
  </w:style>
  <w:style w:type="paragraph" w:customStyle="1" w:styleId="BodyTextRight">
    <w:name w:val="Body Text Right"/>
    <w:basedOn w:val="BodyText"/>
    <w:rsid w:val="00481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6EB"/>
    <w:rPr>
      <w:sz w:val="32"/>
    </w:rPr>
  </w:style>
  <w:style w:type="paragraph" w:customStyle="1" w:styleId="HeadingProcedure">
    <w:name w:val="Heading Procedure"/>
    <w:basedOn w:val="HeadingBase"/>
    <w:next w:val="Normal"/>
    <w:rsid w:val="00481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6EB"/>
    <w:pPr>
      <w:spacing w:before="60" w:after="60"/>
    </w:pPr>
  </w:style>
  <w:style w:type="paragraph" w:styleId="ListContinue">
    <w:name w:val="List Continue"/>
    <w:basedOn w:val="List"/>
    <w:rsid w:val="004816EB"/>
    <w:pPr>
      <w:ind w:firstLine="0"/>
    </w:pPr>
  </w:style>
  <w:style w:type="paragraph" w:customStyle="1" w:styleId="ListNote">
    <w:name w:val="List Note"/>
    <w:basedOn w:val="List"/>
    <w:rsid w:val="00481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6EB"/>
    <w:rPr>
      <w:rFonts w:ascii="Courier New" w:hAnsi="Courier New"/>
    </w:rPr>
  </w:style>
  <w:style w:type="paragraph" w:customStyle="1" w:styleId="NoteBullet">
    <w:name w:val="Note Bullet"/>
    <w:basedOn w:val="Note"/>
    <w:rsid w:val="00481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6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6EB"/>
    <w:rPr>
      <w:b/>
      <w:smallCaps/>
    </w:rPr>
  </w:style>
  <w:style w:type="paragraph" w:customStyle="1" w:styleId="TableListNumber">
    <w:name w:val="Table List Number"/>
    <w:basedOn w:val="ListNumber"/>
    <w:rsid w:val="00481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6EB"/>
    <w:pPr>
      <w:numPr>
        <w:numId w:val="9"/>
      </w:numPr>
    </w:pPr>
  </w:style>
  <w:style w:type="paragraph" w:customStyle="1" w:styleId="ListAlpha2">
    <w:name w:val="List Alpha 2"/>
    <w:basedOn w:val="List2"/>
    <w:rsid w:val="004816EB"/>
    <w:pPr>
      <w:numPr>
        <w:numId w:val="8"/>
      </w:numPr>
    </w:pPr>
  </w:style>
  <w:style w:type="paragraph" w:styleId="List2">
    <w:name w:val="List 2"/>
    <w:basedOn w:val="BodyText"/>
    <w:rsid w:val="00481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6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6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6EB"/>
    <w:pPr>
      <w:numPr>
        <w:numId w:val="4"/>
      </w:numPr>
    </w:pPr>
  </w:style>
  <w:style w:type="paragraph" w:styleId="ListContinue2">
    <w:name w:val="List Continue 2"/>
    <w:basedOn w:val="List2"/>
    <w:rsid w:val="004816EB"/>
    <w:pPr>
      <w:ind w:firstLine="0"/>
    </w:pPr>
  </w:style>
  <w:style w:type="paragraph" w:styleId="ListContinue3">
    <w:name w:val="List Continue 3"/>
    <w:basedOn w:val="List3"/>
    <w:rsid w:val="004816EB"/>
    <w:pPr>
      <w:ind w:left="1021" w:firstLine="0"/>
    </w:pPr>
  </w:style>
  <w:style w:type="paragraph" w:styleId="ListContinue4">
    <w:name w:val="List Continue 4"/>
    <w:basedOn w:val="List4"/>
    <w:rsid w:val="004816EB"/>
    <w:pPr>
      <w:ind w:firstLine="0"/>
    </w:pPr>
  </w:style>
  <w:style w:type="paragraph" w:styleId="ListContinue5">
    <w:name w:val="List Continue 5"/>
    <w:basedOn w:val="List5"/>
    <w:rsid w:val="004816EB"/>
    <w:pPr>
      <w:ind w:firstLine="0"/>
    </w:pPr>
  </w:style>
  <w:style w:type="paragraph" w:styleId="ListNumber3">
    <w:name w:val="List Number 3"/>
    <w:basedOn w:val="List3"/>
    <w:rsid w:val="004816EB"/>
    <w:pPr>
      <w:numPr>
        <w:numId w:val="5"/>
      </w:numPr>
    </w:pPr>
  </w:style>
  <w:style w:type="paragraph" w:styleId="ListNumber4">
    <w:name w:val="List Number 4"/>
    <w:basedOn w:val="List4"/>
    <w:rsid w:val="004816EB"/>
    <w:pPr>
      <w:numPr>
        <w:numId w:val="6"/>
      </w:numPr>
    </w:pPr>
  </w:style>
  <w:style w:type="paragraph" w:styleId="ListNumber5">
    <w:name w:val="List Number 5"/>
    <w:basedOn w:val="List5"/>
    <w:rsid w:val="004816EB"/>
    <w:pPr>
      <w:numPr>
        <w:numId w:val="7"/>
      </w:numPr>
    </w:pPr>
  </w:style>
  <w:style w:type="paragraph" w:styleId="BlockText">
    <w:name w:val="Block Text"/>
    <w:basedOn w:val="Normal"/>
    <w:rsid w:val="00481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6EB"/>
    <w:rPr>
      <w:sz w:val="16"/>
      <w:vertAlign w:val="superscript"/>
    </w:rPr>
  </w:style>
  <w:style w:type="character" w:customStyle="1" w:styleId="Symbols">
    <w:name w:val="Symbols"/>
    <w:basedOn w:val="DefaultParagraphFont"/>
    <w:rsid w:val="004816EB"/>
    <w:rPr>
      <w:rFonts w:ascii="Symbol" w:hAnsi="Symbol"/>
    </w:rPr>
  </w:style>
  <w:style w:type="character" w:customStyle="1" w:styleId="MenuOptions">
    <w:name w:val="Menu Options"/>
    <w:basedOn w:val="DefaultParagraphFont"/>
    <w:rsid w:val="00481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6EB"/>
    <w:rPr>
      <w:b/>
    </w:rPr>
  </w:style>
  <w:style w:type="character" w:customStyle="1" w:styleId="Underlined">
    <w:name w:val="Underlined"/>
    <w:basedOn w:val="DefaultParagraphFont"/>
    <w:rsid w:val="004816EB"/>
    <w:rPr>
      <w:u w:val="single"/>
    </w:rPr>
  </w:style>
  <w:style w:type="paragraph" w:customStyle="1" w:styleId="TableBodyTextRight">
    <w:name w:val="Table Body Text Right"/>
    <w:basedOn w:val="TableBodyText"/>
    <w:rsid w:val="00481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6EB"/>
    <w:rPr>
      <w:sz w:val="18"/>
    </w:rPr>
  </w:style>
  <w:style w:type="paragraph" w:customStyle="1" w:styleId="BodySmallRight">
    <w:name w:val="Body Small Right"/>
    <w:basedOn w:val="BodyTextRight"/>
    <w:rsid w:val="004816EB"/>
    <w:rPr>
      <w:sz w:val="18"/>
      <w:szCs w:val="18"/>
    </w:rPr>
  </w:style>
  <w:style w:type="paragraph" w:customStyle="1" w:styleId="MarginEdition">
    <w:name w:val="Margin Edition"/>
    <w:basedOn w:val="MarginNote"/>
    <w:rsid w:val="00481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6EB"/>
    <w:rPr>
      <w:sz w:val="2"/>
      <w:szCs w:val="2"/>
    </w:rPr>
  </w:style>
  <w:style w:type="character" w:customStyle="1" w:styleId="Small">
    <w:name w:val="Small"/>
    <w:basedOn w:val="DefaultParagraphFont"/>
    <w:rsid w:val="004816EB"/>
    <w:rPr>
      <w:sz w:val="16"/>
    </w:rPr>
  </w:style>
  <w:style w:type="paragraph" w:customStyle="1" w:styleId="WideTable">
    <w:name w:val="Wide Table"/>
    <w:basedOn w:val="Normal"/>
    <w:rsid w:val="00481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6EB"/>
  </w:style>
  <w:style w:type="paragraph" w:styleId="Quote">
    <w:name w:val="Quote"/>
    <w:basedOn w:val="Heading1"/>
    <w:link w:val="QuoteChar"/>
    <w:qFormat/>
    <w:rsid w:val="00481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6EB"/>
    <w:pPr>
      <w:pageBreakBefore/>
    </w:pPr>
  </w:style>
  <w:style w:type="paragraph" w:customStyle="1" w:styleId="Border">
    <w:name w:val="Border"/>
    <w:basedOn w:val="Normal"/>
    <w:qFormat/>
    <w:rsid w:val="00481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6EB"/>
    <w:rPr>
      <w:u w:val="single"/>
    </w:rPr>
  </w:style>
  <w:style w:type="character" w:customStyle="1" w:styleId="BoldandItalics">
    <w:name w:val="Bold and Italics"/>
    <w:qFormat/>
    <w:rsid w:val="004816EB"/>
    <w:rPr>
      <w:b/>
      <w:i/>
      <w:u w:val="none"/>
    </w:rPr>
  </w:style>
  <w:style w:type="paragraph" w:styleId="BalloonText">
    <w:name w:val="Balloon Text"/>
    <w:basedOn w:val="Normal"/>
    <w:link w:val="BalloonTextChar"/>
    <w:rsid w:val="00481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6EB"/>
    <w:pPr>
      <w:spacing w:before="0" w:after="0"/>
    </w:pPr>
  </w:style>
  <w:style w:type="paragraph" w:customStyle="1" w:styleId="BodyTextBold">
    <w:name w:val="Body Text Bold"/>
    <w:basedOn w:val="BodyText"/>
    <w:qFormat/>
    <w:rsid w:val="004816EB"/>
    <w:rPr>
      <w:b/>
    </w:rPr>
  </w:style>
  <w:style w:type="character" w:styleId="Hyperlink">
    <w:name w:val="Hyperlink"/>
    <w:basedOn w:val="DefaultParagraphFont"/>
    <w:uiPriority w:val="99"/>
    <w:unhideWhenUsed/>
    <w:rsid w:val="00653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1259</Words>
  <Characters>8304</Characters>
  <Application>Microsoft Office Word</Application>
  <DocSecurity>0</DocSecurity>
  <Lines>319</Lines>
  <Paragraphs>164</Paragraphs>
  <ScaleCrop>false</ScaleCrop>
  <Company>Author-it Software Corporation Ltd.</Company>
  <LinksUpToDate>false</LinksUpToDate>
  <CharactersWithSpaces>9399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TLIX0034X Undertake supply support in integrated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2025-03-01T09:16:00Z</dcterms:created>
  <dcterms:modified xsi:type="dcterms:W3CDTF">2025-03-01T09:16:00Z</dcterms:modified>
</cp:coreProperties>
</file>