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8B2" w:rsidP="004E48B2">
      <w:pPr>
        <w:pStyle w:val="Title"/>
      </w:pPr>
      <w:r>
        <w:fldChar w:fldCharType="begin"/>
      </w:r>
      <w:r>
        <w:instrText xml:space="preserve"> TITLE   \* MERGEFORMAT </w:instrText>
      </w:r>
      <w:r>
        <w:fldChar w:fldCharType="separate"/>
      </w:r>
      <w:r>
        <w:t>TLIX0032X Undertake configuration management to support integrated logistics</w:t>
      </w:r>
      <w:r>
        <w:fldChar w:fldCharType="end"/>
      </w:r>
    </w:p>
    <w:p w:rsidR="004E48B2" w:rsidP="004E48B2">
      <w:pPr>
        <w:pStyle w:val="Version"/>
        <w:sectPr w:rsidSect="002D10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0D2" w:rsidP="002D10D2">
      <w:pPr>
        <w:pStyle w:val="SuperHeading"/>
      </w:pPr>
      <w:r w:rsidRPr="002D10D2">
        <w:t>TLIX0032X Undertake configuration management to support integrated logistics</w:t>
      </w:r>
    </w:p>
    <w:p w:rsidR="00000000" w:rsidRPr="002D10D2" w:rsidP="002D10D2">
      <w:pPr>
        <w:pStyle w:val="Heading1"/>
      </w:pPr>
      <w:bookmarkStart w:id="1" w:name="O_1167678"/>
      <w:bookmarkEnd w:id="1"/>
      <w:r w:rsidRPr="002D10D2">
        <w:t>Modification History</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Release 1. This is the first release of this unit of competency in the TLI Transport and Logistics Training Package.</w:t>
            </w:r>
          </w:p>
        </w:tc>
      </w:tr>
    </w:tbl>
    <w:p w:rsidR="004E48B2" w:rsidP="002D10D2">
      <w:pPr>
        <w:pStyle w:val="NoPaddingFontSize1"/>
      </w:pPr>
    </w:p>
    <w:p w:rsidR="004E48B2" w:rsidP="002D10D2">
      <w:pPr>
        <w:pStyle w:val="NoPaddingFontSize1"/>
      </w:pPr>
    </w:p>
    <w:p w:rsidR="00000000" w:rsidRPr="002D10D2" w:rsidP="002D10D2">
      <w:pPr>
        <w:pStyle w:val="Heading1"/>
      </w:pPr>
      <w:bookmarkStart w:id="2" w:name="O_1167679"/>
      <w:bookmarkEnd w:id="2"/>
      <w:r w:rsidRPr="002D10D2">
        <w:t>Application</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 xml:space="preserve">This unit involves the skills and knowledge required to undertake configuration management (CM) to support integrated logistics. </w:t>
            </w:r>
          </w:p>
          <w:p w:rsidR="00000000" w:rsidRPr="002D10D2" w:rsidP="002D10D2">
            <w:pPr>
              <w:pStyle w:val="BodyText"/>
            </w:pPr>
            <w:r w:rsidRPr="002D10D2">
              <w:t>CM is an engineering discipline and a formalised approach to ensure that the integrity of the equipment is maintai</w:t>
            </w:r>
            <w:r w:rsidRPr="002D10D2">
              <w:t>ned throughout its serviceable life. CM is conducted through the application of five disciplines, including CM planning, configuration item identification, configuration control, configuration status accounting, and configuration verification and auditing.</w:t>
            </w:r>
          </w:p>
          <w:p w:rsidR="00000000" w:rsidRPr="002D10D2" w:rsidP="002D10D2">
            <w:pPr>
              <w:pStyle w:val="BodyText"/>
            </w:pPr>
            <w:r w:rsidRPr="002D10D2">
              <w:t>This unit applies to aspects related to integrated logistics support (ILS) of the hardware, software and other artifact configuration control/management as well as elements of the mission and support systems. It will be supplemented by (and apply) trainin</w:t>
            </w:r>
            <w:r w:rsidRPr="002D10D2">
              <w:t>g in the specific tool/application used to support CM within different workplaces.</w:t>
            </w:r>
          </w:p>
          <w:p w:rsidR="00000000" w:rsidRPr="002D10D2" w:rsidP="002D10D2">
            <w:pPr>
              <w:pStyle w:val="BodyText"/>
            </w:pPr>
            <w:r w:rsidRPr="002D10D2">
              <w:t xml:space="preserve">This unit is appropriate for technical specialists supporting integrated logistics functions. Typically, these individuals will have existing vocational or higher education </w:t>
            </w:r>
            <w:r w:rsidRPr="002D10D2">
              <w:t>qualifications related to engineering, and significant engineering support experience. They must demonstrate the ability to work independently or as part of a team under direct and/or indirect supervision, use discretion and judgement, and take responsibil</w:t>
            </w:r>
            <w:r w:rsidRPr="002D10D2">
              <w:t>ity for the quality of their outputs. All activities are carried out in accordance with relevant policy and procedures.</w:t>
            </w:r>
          </w:p>
          <w:p w:rsidR="00000000" w:rsidRPr="002D10D2" w:rsidP="002D10D2">
            <w:pPr>
              <w:pStyle w:val="BodyText"/>
            </w:pPr>
            <w:r w:rsidRPr="002D10D2">
              <w:t>No licensing, legislative or certification requirements apply to this unit at the time of publication.</w:t>
            </w:r>
          </w:p>
        </w:tc>
      </w:tr>
    </w:tbl>
    <w:p w:rsidR="004E48B2" w:rsidP="002D10D2">
      <w:pPr>
        <w:pStyle w:val="NoPaddingFontSize1"/>
      </w:pPr>
    </w:p>
    <w:p w:rsidR="004E48B2" w:rsidP="002D10D2">
      <w:pPr>
        <w:pStyle w:val="NoPaddingFontSize1"/>
      </w:pPr>
    </w:p>
    <w:p w:rsidR="00000000" w:rsidRPr="002D10D2" w:rsidP="002D10D2">
      <w:pPr>
        <w:pStyle w:val="Heading1"/>
      </w:pPr>
      <w:bookmarkStart w:id="3" w:name="O_1167680"/>
      <w:bookmarkEnd w:id="3"/>
      <w:r w:rsidRPr="002D10D2">
        <w:t>Pre-requisi</w:t>
      </w:r>
      <w:r w:rsidRPr="002D10D2">
        <w:t>te Unit</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Not applicable.</w:t>
            </w:r>
          </w:p>
        </w:tc>
      </w:tr>
    </w:tbl>
    <w:p w:rsidR="004E48B2" w:rsidP="002D10D2">
      <w:pPr>
        <w:pStyle w:val="NoPaddingFontSize1"/>
      </w:pPr>
    </w:p>
    <w:p w:rsidR="004E48B2" w:rsidP="002D10D2">
      <w:pPr>
        <w:pStyle w:val="NoPaddingFontSize1"/>
      </w:pPr>
    </w:p>
    <w:p w:rsidR="00000000" w:rsidRPr="002D10D2" w:rsidP="002D10D2">
      <w:pPr>
        <w:pStyle w:val="Heading1"/>
      </w:pPr>
      <w:bookmarkStart w:id="4" w:name="O_1167681"/>
      <w:bookmarkEnd w:id="4"/>
      <w:r w:rsidRPr="002D10D2">
        <w:t>Competency Field</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X – Logistics</w:t>
            </w:r>
          </w:p>
        </w:tc>
      </w:tr>
    </w:tbl>
    <w:p w:rsidR="004E48B2" w:rsidP="002D10D2">
      <w:pPr>
        <w:pStyle w:val="NoPaddingFontSize1"/>
      </w:pPr>
    </w:p>
    <w:p w:rsidR="004E48B2" w:rsidP="002D10D2">
      <w:pPr>
        <w:pStyle w:val="NoPaddingFontSize1"/>
      </w:pPr>
    </w:p>
    <w:p w:rsidR="00000000" w:rsidRPr="002D10D2" w:rsidP="002D10D2">
      <w:pPr>
        <w:pStyle w:val="Heading1"/>
      </w:pPr>
      <w:bookmarkStart w:id="5" w:name="O_1167682"/>
      <w:bookmarkEnd w:id="5"/>
      <w:r w:rsidRPr="002D10D2">
        <w:t>Unit Sector</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Integrated logistics</w:t>
            </w:r>
          </w:p>
        </w:tc>
      </w:tr>
    </w:tbl>
    <w:p w:rsidR="004E48B2" w:rsidP="002D10D2">
      <w:pPr>
        <w:pStyle w:val="NoPaddingFontSize1"/>
      </w:pPr>
    </w:p>
    <w:p w:rsidR="004E48B2" w:rsidP="002D10D2">
      <w:pPr>
        <w:pStyle w:val="NoPaddingFontSize1"/>
      </w:pPr>
    </w:p>
    <w:p w:rsidR="00000000" w:rsidRPr="002D10D2" w:rsidP="002D10D2">
      <w:pPr>
        <w:pStyle w:val="Heading1"/>
      </w:pPr>
      <w:bookmarkStart w:id="6" w:name="O_1167683"/>
      <w:bookmarkEnd w:id="6"/>
      <w:r w:rsidRPr="002D10D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D10D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PERFORMANCE CRITERIA</w:t>
            </w:r>
          </w:p>
        </w:tc>
      </w:tr>
      <w:tr w:rsidTr="002D10D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Performance criteria describe the performance needed to demonstrate achievement of the element.</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rPr>
                <w:rStyle w:val="SpecialBold"/>
              </w:rPr>
              <w:t>Undertake CM planning</w:t>
            </w: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Organisational CM policies, procedures and systems are identified and interpreted in re</w:t>
            </w:r>
            <w:r w:rsidRPr="002D10D2">
              <w:t>lation to ILS artifacts</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Stakeholders, roles and responsibilities are identified</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Training and system familiarisation requirements are identified</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Organisational CM tools/applications are identified</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Asset CM plan is developed</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rPr>
                <w:rStyle w:val="SpecialBold"/>
              </w:rPr>
              <w:t>Conduct configuration item identification</w:t>
            </w: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ILS related functional and physical requirements subject to CM are identified in accordance with organisational requirements, policies and procedures</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Class of CM rigour is allocated to each identified configuration item in accordance with organisational policy and technical risk profile</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rPr>
                <w:rStyle w:val="SpecialBold"/>
              </w:rPr>
              <w:t>Conduct configuration control activities</w:t>
            </w: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Configuration process is managed in accordance with organisational policies and procedures</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Changes to configuration baseline are implemented in accordance with organisational policies and procedures</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Configuration change records are prepared a</w:t>
            </w:r>
            <w:r w:rsidRPr="002D10D2">
              <w:t>nd managed in accordance with organisational policies and procedures</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Alignment of configuration data to engineering support data, supply support data and maintenance support data is maintained</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rPr>
                <w:rStyle w:val="SpecialBold"/>
              </w:rPr>
              <w:t xml:space="preserve">4 </w:t>
            </w:r>
          </w:p>
        </w:tc>
        <w:tc>
          <w:tcPr>
            <w:tcW w:w="2889"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rPr>
                <w:rStyle w:val="SpecialBold"/>
              </w:rPr>
              <w:t>Conduct configuration status accounting, verification and audit</w:t>
            </w: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CM audit trails for functional, allocated and physical baselines are created and maintained</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Adherence to CM policies, processes and plans is verified</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Configuration surveillan</w:t>
            </w:r>
            <w:r w:rsidRPr="002D10D2">
              <w:t>ce program is established</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Functional configuration audits (FCA) are planned and conducted</w:t>
            </w:r>
          </w:p>
        </w:tc>
      </w:tr>
      <w:tr w:rsidTr="002D10D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D10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Physical configuration audits (PCA) are planned and conducted</w:t>
            </w:r>
          </w:p>
        </w:tc>
      </w:tr>
    </w:tbl>
    <w:p w:rsidR="004E48B2" w:rsidP="002D10D2">
      <w:pPr>
        <w:pStyle w:val="NoPaddingFontSize1"/>
      </w:pPr>
    </w:p>
    <w:p w:rsidR="004E48B2" w:rsidP="002D10D2">
      <w:pPr>
        <w:pStyle w:val="NoPaddingFontSize1"/>
      </w:pPr>
    </w:p>
    <w:p w:rsidR="00000000" w:rsidRPr="002D10D2" w:rsidP="002D10D2">
      <w:pPr>
        <w:pStyle w:val="Heading1"/>
      </w:pPr>
      <w:bookmarkStart w:id="7" w:name="O_1167684"/>
      <w:bookmarkEnd w:id="7"/>
      <w:r w:rsidRPr="002D10D2">
        <w:t>Foundation Skills</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Foundation skills essential to performance are explicit in the performance criteria of this unit of competency.</w:t>
            </w:r>
          </w:p>
        </w:tc>
      </w:tr>
    </w:tbl>
    <w:p w:rsidR="004E48B2" w:rsidP="002D10D2">
      <w:pPr>
        <w:pStyle w:val="NoPaddingFontSize1"/>
      </w:pPr>
    </w:p>
    <w:p w:rsidR="004E48B2" w:rsidP="002D10D2">
      <w:pPr>
        <w:pStyle w:val="NoPaddingFontSize1"/>
      </w:pPr>
    </w:p>
    <w:p w:rsidR="00000000" w:rsidRPr="002D10D2" w:rsidP="002D10D2">
      <w:pPr>
        <w:pStyle w:val="Heading1"/>
      </w:pPr>
      <w:bookmarkStart w:id="8" w:name="O_1167685"/>
      <w:bookmarkEnd w:id="8"/>
      <w:r w:rsidRPr="002D10D2">
        <w:t>Range of Conditions</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Range is restricted to essential operating conditions and any other variables essential to the work en</w:t>
            </w:r>
            <w:r w:rsidRPr="002D10D2">
              <w:t>vironment.</w:t>
            </w:r>
          </w:p>
        </w:tc>
      </w:tr>
    </w:tbl>
    <w:p w:rsidR="004E48B2" w:rsidP="002D10D2">
      <w:pPr>
        <w:pStyle w:val="NoPaddingFontSize1"/>
      </w:pPr>
    </w:p>
    <w:p w:rsidR="004E48B2" w:rsidP="002D10D2">
      <w:pPr>
        <w:pStyle w:val="NoPaddingFontSize1"/>
      </w:pPr>
    </w:p>
    <w:p w:rsidR="00000000" w:rsidRPr="002D10D2" w:rsidP="002D10D2">
      <w:pPr>
        <w:pStyle w:val="Heading1"/>
      </w:pPr>
      <w:bookmarkStart w:id="9" w:name="O_1167686"/>
      <w:bookmarkEnd w:id="9"/>
      <w:r w:rsidRPr="002D10D2">
        <w:t>Unit Mapping Information</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This is a new unit. No equivalent unit.</w:t>
            </w:r>
          </w:p>
        </w:tc>
      </w:tr>
    </w:tbl>
    <w:p w:rsidR="004E48B2" w:rsidP="002D10D2">
      <w:pPr>
        <w:pStyle w:val="NoPaddingFontSize1"/>
      </w:pPr>
    </w:p>
    <w:p w:rsidR="004E48B2" w:rsidP="002D10D2">
      <w:pPr>
        <w:pStyle w:val="NoPaddingFontSize1"/>
      </w:pPr>
    </w:p>
    <w:p w:rsidR="00000000" w:rsidRPr="002D10D2" w:rsidP="002D10D2">
      <w:pPr>
        <w:pStyle w:val="Heading1"/>
      </w:pPr>
      <w:bookmarkStart w:id="10" w:name="O_1167693"/>
      <w:bookmarkEnd w:id="10"/>
      <w:r w:rsidRPr="002D10D2">
        <w:t>Links</w:t>
      </w:r>
    </w:p>
    <w:p w:rsidR="00000000" w:rsidRPr="002D10D2" w:rsidP="004E48B2">
      <w:pPr>
        <w:pStyle w:val="BodyText"/>
      </w:pPr>
      <w:r w:rsidRPr="002D10D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B2B74">
        <w:rPr>
          <w:rStyle w:val="Hyperlink"/>
        </w:rPr>
        <w:t>https://vetnet.gov.au/Pages/TrainingDocs.aspx?q=df441c6e-213d-43e3-874c-0b3f7036d851</w:t>
      </w:r>
      <w:r>
        <w:fldChar w:fldCharType="end"/>
      </w:r>
    </w:p>
    <w:p w:rsidR="00000000" w:rsidRPr="002D10D2" w:rsidP="004E48B2">
      <w:pPr>
        <w:pStyle w:val="BodyText"/>
        <w:sectPr w:rsidSect="002D10D2">
          <w:headerReference w:type="default" r:id="rId10"/>
          <w:footerReference w:type="default" r:id="rId11"/>
          <w:pgSz w:w="11908" w:h="16833"/>
          <w:pgMar w:top="1702" w:right="1418" w:bottom="1702" w:left="1418" w:header="992" w:footer="992" w:gutter="0"/>
          <w:cols w:space="720"/>
          <w:noEndnote/>
          <w:docGrid w:linePitch="299"/>
        </w:sectPr>
      </w:pPr>
    </w:p>
    <w:p w:rsidR="00000000" w:rsidRPr="002D10D2" w:rsidP="002D10D2">
      <w:pPr>
        <w:pStyle w:val="SuperHeading"/>
      </w:pPr>
      <w:r w:rsidRPr="002D10D2">
        <w:t>Assessment Requirements for TLIX0032X Undertake configuration m</w:t>
      </w:r>
      <w:r w:rsidRPr="002D10D2">
        <w:t>anagement to support integrated logistics</w:t>
      </w:r>
    </w:p>
    <w:p w:rsidR="00000000" w:rsidRPr="002D10D2" w:rsidP="002D10D2">
      <w:pPr>
        <w:pStyle w:val="Heading1"/>
      </w:pPr>
      <w:bookmarkStart w:id="11" w:name="O_1167688"/>
      <w:bookmarkEnd w:id="11"/>
      <w:r w:rsidRPr="002D10D2">
        <w:t>Modification History</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Release 1. This is the first release of this unit of competency in the TLI Transport and Logistics Training Package.</w:t>
            </w:r>
          </w:p>
        </w:tc>
      </w:tr>
    </w:tbl>
    <w:p w:rsidR="004E48B2" w:rsidP="002D10D2">
      <w:pPr>
        <w:pStyle w:val="NoPaddingFontSize1"/>
      </w:pPr>
    </w:p>
    <w:p w:rsidR="004E48B2" w:rsidP="002D10D2">
      <w:pPr>
        <w:pStyle w:val="NoPaddingFontSize1"/>
      </w:pPr>
    </w:p>
    <w:p w:rsidR="00000000" w:rsidRPr="002D10D2" w:rsidP="002D10D2">
      <w:pPr>
        <w:pStyle w:val="Heading1"/>
      </w:pPr>
      <w:bookmarkStart w:id="12" w:name="O_1167689"/>
      <w:bookmarkEnd w:id="12"/>
      <w:r w:rsidRPr="002D10D2">
        <w:t>Performance Evidence</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Evidence r</w:t>
            </w:r>
            <w:r w:rsidRPr="002D10D2">
              <w:t xml:space="preserve">equired to demonstrate competence in this unit must be relevant to and satisfy all of the requirements of the elements and performance criteria on at least two separate occasions and include: </w:t>
            </w:r>
          </w:p>
        </w:tc>
      </w:tr>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ListBullet"/>
            </w:pPr>
            <w:r w:rsidRPr="002D10D2">
              <w:t>identifying, obtaining and interpreting organisational config</w:t>
            </w:r>
            <w:r w:rsidRPr="002D10D2">
              <w:t>uration management (CM) information, including:</w:t>
            </w:r>
          </w:p>
          <w:p w:rsidR="00000000" w:rsidRPr="002D10D2" w:rsidP="002D10D2">
            <w:pPr>
              <w:pStyle w:val="ListBullet2"/>
            </w:pPr>
            <w:r w:rsidRPr="002D10D2">
              <w:t>policies, procedures and systems</w:t>
            </w:r>
          </w:p>
          <w:p w:rsidR="00000000" w:rsidRPr="002D10D2" w:rsidP="002D10D2">
            <w:pPr>
              <w:pStyle w:val="ListBullet2"/>
            </w:pPr>
            <w:r w:rsidRPr="002D10D2">
              <w:t>tools/applications</w:t>
            </w:r>
          </w:p>
          <w:p w:rsidR="00000000" w:rsidRPr="002D10D2" w:rsidP="002D10D2">
            <w:pPr>
              <w:pStyle w:val="ListBullet2"/>
            </w:pPr>
            <w:r w:rsidRPr="002D10D2">
              <w:t>stakeholders, roles and responsibilities</w:t>
            </w:r>
          </w:p>
          <w:p w:rsidR="00000000" w:rsidRPr="002D10D2" w:rsidP="002D10D2">
            <w:pPr>
              <w:pStyle w:val="ListBullet2"/>
            </w:pPr>
            <w:r w:rsidRPr="002D10D2">
              <w:t>training requirements</w:t>
            </w:r>
          </w:p>
          <w:p w:rsidR="00000000" w:rsidRPr="002D10D2" w:rsidP="002D10D2">
            <w:pPr>
              <w:pStyle w:val="ListBullet"/>
            </w:pPr>
            <w:r w:rsidRPr="002D10D2">
              <w:t>developing asset CM Plan</w:t>
            </w:r>
          </w:p>
          <w:p w:rsidR="00000000" w:rsidRPr="002D10D2" w:rsidP="002D10D2">
            <w:pPr>
              <w:pStyle w:val="ListBullet"/>
            </w:pPr>
            <w:r w:rsidRPr="002D10D2">
              <w:t>identifying configuration items</w:t>
            </w:r>
          </w:p>
          <w:p w:rsidR="00000000" w:rsidRPr="002D10D2" w:rsidP="002D10D2">
            <w:pPr>
              <w:pStyle w:val="ListBullet"/>
            </w:pPr>
            <w:r w:rsidRPr="002D10D2">
              <w:t>undertaking configuration control</w:t>
            </w:r>
          </w:p>
          <w:p w:rsidR="00000000" w:rsidRPr="002D10D2" w:rsidP="002D10D2">
            <w:pPr>
              <w:pStyle w:val="ListBullet"/>
            </w:pPr>
            <w:r w:rsidRPr="002D10D2">
              <w:t>completing configuration status accounting</w:t>
            </w:r>
          </w:p>
          <w:p w:rsidR="00000000" w:rsidRPr="002D10D2" w:rsidP="002D10D2">
            <w:pPr>
              <w:pStyle w:val="ListBullet"/>
            </w:pPr>
            <w:r w:rsidRPr="002D10D2">
              <w:t>completing configuration verification and auditing.</w:t>
            </w:r>
          </w:p>
        </w:tc>
      </w:tr>
    </w:tbl>
    <w:p w:rsidR="004E48B2" w:rsidP="002D10D2">
      <w:pPr>
        <w:pStyle w:val="NoPaddingFontSize1"/>
      </w:pPr>
    </w:p>
    <w:p w:rsidR="004E48B2" w:rsidP="002D10D2">
      <w:pPr>
        <w:pStyle w:val="NoPaddingFontSize1"/>
      </w:pPr>
    </w:p>
    <w:p w:rsidR="00000000" w:rsidRPr="002D10D2" w:rsidP="002D10D2">
      <w:pPr>
        <w:pStyle w:val="Heading1"/>
      </w:pPr>
      <w:bookmarkStart w:id="13" w:name="O_1167690"/>
      <w:bookmarkEnd w:id="13"/>
      <w:r w:rsidRPr="002D10D2">
        <w:t>Knowledge Evidence</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10D2">
            <w:pPr>
              <w:pStyle w:val="BodyText"/>
              <w:rPr>
                <w:lang w:val="en-NZ"/>
              </w:rPr>
            </w:pPr>
            <w:r w:rsidRPr="002D10D2">
              <w:t xml:space="preserve">Evidence required to demonstrate competence in this unit must be relevant to and satisfy all of the requirements of the elements and performance criteria and include knowledge of: </w:t>
            </w:r>
          </w:p>
        </w:tc>
      </w:tr>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ListBullet"/>
            </w:pPr>
            <w:r w:rsidRPr="002D10D2">
              <w:t>organisational policies, procedures and industry standards relevant to in</w:t>
            </w:r>
            <w:r w:rsidRPr="002D10D2">
              <w:t>tegrated logistics support (ILS) and CM</w:t>
            </w:r>
          </w:p>
          <w:p w:rsidR="00000000" w:rsidRPr="002D10D2" w:rsidP="002D10D2">
            <w:pPr>
              <w:pStyle w:val="ListBullet"/>
            </w:pPr>
            <w:r w:rsidRPr="002D10D2">
              <w:t>CM concepts and practices</w:t>
            </w:r>
          </w:p>
          <w:p w:rsidR="00000000" w:rsidRPr="002D10D2" w:rsidP="002D10D2">
            <w:pPr>
              <w:pStyle w:val="ListBullet"/>
            </w:pPr>
            <w:r w:rsidRPr="002D10D2">
              <w:t>techniques for:</w:t>
            </w:r>
          </w:p>
          <w:p w:rsidR="00000000" w:rsidRPr="002D10D2" w:rsidP="002D10D2">
            <w:pPr>
              <w:pStyle w:val="ListBullet2"/>
            </w:pPr>
            <w:r w:rsidRPr="002D10D2">
              <w:t>CM analysis and modelling</w:t>
            </w:r>
          </w:p>
          <w:p w:rsidR="00000000" w:rsidRPr="002D10D2" w:rsidP="002D10D2">
            <w:pPr>
              <w:pStyle w:val="ListBullet2"/>
            </w:pPr>
            <w:r w:rsidRPr="002D10D2">
              <w:t>identification of configuration items</w:t>
            </w:r>
          </w:p>
          <w:p w:rsidR="00000000" w:rsidRPr="002D10D2" w:rsidP="002D10D2">
            <w:pPr>
              <w:pStyle w:val="ListBullet2"/>
            </w:pPr>
            <w:r w:rsidRPr="002D10D2">
              <w:t>controlling changes to CM items</w:t>
            </w:r>
          </w:p>
          <w:p w:rsidR="00000000" w:rsidRPr="002D10D2" w:rsidP="002D10D2">
            <w:pPr>
              <w:pStyle w:val="ListBullet2"/>
            </w:pPr>
            <w:r w:rsidRPr="002D10D2">
              <w:t>configuration status accounting</w:t>
            </w:r>
          </w:p>
          <w:p w:rsidR="00000000" w:rsidRPr="002D10D2" w:rsidP="002D10D2">
            <w:pPr>
              <w:pStyle w:val="ListBullet2"/>
            </w:pPr>
            <w:r w:rsidRPr="002D10D2">
              <w:t>auditing CM items</w:t>
            </w:r>
          </w:p>
          <w:p w:rsidR="00000000" w:rsidRPr="002D10D2" w:rsidP="002D10D2">
            <w:pPr>
              <w:pStyle w:val="ListBullet"/>
            </w:pPr>
            <w:r w:rsidRPr="002D10D2">
              <w:t>purpose and operation of configuration change boards</w:t>
            </w:r>
          </w:p>
          <w:p w:rsidR="00000000" w:rsidRPr="002D10D2" w:rsidP="002D10D2">
            <w:pPr>
              <w:pStyle w:val="ListBullet"/>
            </w:pPr>
            <w:r w:rsidRPr="002D10D2">
              <w:t>functional and physical requirements subject to CM, including:</w:t>
            </w:r>
          </w:p>
          <w:p w:rsidR="00000000" w:rsidRPr="002D10D2" w:rsidP="002D10D2">
            <w:pPr>
              <w:pStyle w:val="ListBullet2"/>
            </w:pPr>
            <w:r w:rsidRPr="002D10D2">
              <w:t>specifications</w:t>
            </w:r>
          </w:p>
          <w:p w:rsidR="00000000" w:rsidRPr="002D10D2" w:rsidP="002D10D2">
            <w:pPr>
              <w:pStyle w:val="ListBullet2"/>
            </w:pPr>
            <w:r w:rsidRPr="002D10D2">
              <w:t>design documentation (as designed)</w:t>
            </w:r>
          </w:p>
          <w:p w:rsidR="00000000" w:rsidRPr="002D10D2" w:rsidP="002D10D2">
            <w:pPr>
              <w:pStyle w:val="ListBullet2"/>
            </w:pPr>
            <w:r w:rsidRPr="002D10D2">
              <w:t>procurement records</w:t>
            </w:r>
          </w:p>
          <w:p w:rsidR="00000000" w:rsidRPr="002D10D2" w:rsidP="002D10D2">
            <w:pPr>
              <w:pStyle w:val="ListBullet2"/>
            </w:pPr>
            <w:r w:rsidRPr="002D10D2">
              <w:t>test and quality assurance (QA) reports</w:t>
            </w:r>
          </w:p>
          <w:p w:rsidR="00000000" w:rsidRPr="002D10D2" w:rsidP="002D10D2">
            <w:pPr>
              <w:pStyle w:val="ListBullet2"/>
            </w:pPr>
            <w:r w:rsidRPr="002D10D2">
              <w:t xml:space="preserve">personnel qualifications and </w:t>
            </w:r>
            <w:r w:rsidRPr="002D10D2">
              <w:t>training records</w:t>
            </w:r>
          </w:p>
          <w:p w:rsidR="00000000" w:rsidRPr="002D10D2" w:rsidP="002D10D2">
            <w:pPr>
              <w:pStyle w:val="ListBullet2"/>
            </w:pPr>
            <w:r w:rsidRPr="002D10D2">
              <w:t>equipment (as built - as delivered) records</w:t>
            </w:r>
          </w:p>
          <w:p w:rsidR="00000000" w:rsidRPr="002D10D2" w:rsidP="002D10D2">
            <w:pPr>
              <w:pStyle w:val="ListBullet2"/>
            </w:pPr>
            <w:r w:rsidRPr="002D10D2">
              <w:t>maintenance records (as is)</w:t>
            </w:r>
          </w:p>
          <w:p w:rsidR="00000000" w:rsidRPr="002D10D2" w:rsidP="002D10D2">
            <w:pPr>
              <w:pStyle w:val="ListBullet2"/>
            </w:pPr>
            <w:r w:rsidRPr="002D10D2">
              <w:t>critical sub-systems and components</w:t>
            </w:r>
          </w:p>
          <w:p w:rsidR="00000000" w:rsidRPr="002D10D2" w:rsidP="002D10D2">
            <w:pPr>
              <w:pStyle w:val="ListBullet2"/>
            </w:pPr>
            <w:r w:rsidRPr="002D10D2">
              <w:t>firmware/software states.</w:t>
            </w:r>
          </w:p>
        </w:tc>
      </w:tr>
    </w:tbl>
    <w:p w:rsidR="004E48B2" w:rsidP="002D10D2">
      <w:pPr>
        <w:pStyle w:val="NoPaddingFontSize1"/>
      </w:pPr>
    </w:p>
    <w:p w:rsidR="004E48B2" w:rsidP="002D10D2">
      <w:pPr>
        <w:pStyle w:val="NoPaddingFontSize1"/>
      </w:pPr>
    </w:p>
    <w:p w:rsidR="00000000" w:rsidRPr="002D10D2" w:rsidP="002D10D2">
      <w:pPr>
        <w:pStyle w:val="Heading1"/>
      </w:pPr>
      <w:bookmarkStart w:id="14" w:name="O_1167691"/>
      <w:bookmarkEnd w:id="14"/>
      <w:r w:rsidRPr="002D10D2">
        <w:t>Assessment Conditions</w:t>
      </w:r>
    </w:p>
    <w:tbl>
      <w:tblPr>
        <w:tblW w:w="9497" w:type="dxa"/>
        <w:tblLayout w:type="fixed"/>
        <w:tblCellMar>
          <w:left w:w="62" w:type="dxa"/>
          <w:right w:w="62" w:type="dxa"/>
        </w:tblCellMar>
        <w:tblLook w:val="0000"/>
      </w:tblPr>
      <w:tblGrid>
        <w:gridCol w:w="9497"/>
      </w:tblGrid>
      <w:tr w:rsidTr="002D1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D2" w:rsidP="002D10D2">
            <w:pPr>
              <w:pStyle w:val="BodyText"/>
            </w:pPr>
            <w:r w:rsidRPr="002D10D2">
              <w:t xml:space="preserve">As a minimum, assessors must satisfy applicable regulatory requirements, which include requirements in the Standards for Registered Training Organisations current at the time of assessment. </w:t>
            </w:r>
          </w:p>
          <w:p w:rsidR="00000000" w:rsidRPr="002D10D2" w:rsidP="002D10D2">
            <w:pPr>
              <w:pStyle w:val="BodyText"/>
            </w:pPr>
            <w:r w:rsidRPr="002D10D2">
              <w:t>As a minimum, assessment must satisfy applicable regulatory requi</w:t>
            </w:r>
            <w:r w:rsidRPr="002D10D2">
              <w:t>rements, which include requirements in the Standards for Registered Training Organisations current at the time of assessment.</w:t>
            </w:r>
          </w:p>
          <w:p w:rsidR="00000000" w:rsidRPr="002D10D2" w:rsidP="002D10D2">
            <w:pPr>
              <w:pStyle w:val="BodyText"/>
            </w:pPr>
            <w:r w:rsidRPr="002D10D2">
              <w:t>Assessment must occur in workplace operational situations where it is appropriate to do so; where this is not appropriate, assessm</w:t>
            </w:r>
            <w:r w:rsidRPr="002D10D2">
              <w:t xml:space="preserve">ent must occur in simulated workplace operational situations that replicate workplace conditions. </w:t>
            </w:r>
          </w:p>
          <w:p w:rsidR="00000000" w:rsidRPr="002D10D2" w:rsidP="002D10D2">
            <w:pPr>
              <w:pStyle w:val="BodyText"/>
            </w:pPr>
            <w:r w:rsidRPr="002D10D2">
              <w:t xml:space="preserve">Assessment processes and techniques must be appropriate to the language, literacy and numeracy requirements of the work being performed and the needs of the </w:t>
            </w:r>
            <w:r w:rsidRPr="002D10D2">
              <w:t>candidate.</w:t>
            </w:r>
          </w:p>
          <w:p w:rsidR="00000000" w:rsidRPr="002D10D2" w:rsidP="002D10D2">
            <w:pPr>
              <w:pStyle w:val="BodyText"/>
            </w:pPr>
            <w:r w:rsidRPr="002D10D2">
              <w:t>Resources for assessment include:</w:t>
            </w:r>
          </w:p>
          <w:p w:rsidR="00000000" w:rsidRPr="002D10D2" w:rsidP="002D10D2">
            <w:pPr>
              <w:pStyle w:val="ListBullet"/>
            </w:pPr>
            <w:r w:rsidRPr="002D10D2">
              <w:t>a range of relevant exercises, case studies and/or simulations</w:t>
            </w:r>
          </w:p>
          <w:p w:rsidR="00000000" w:rsidRPr="002D10D2" w:rsidP="002D10D2">
            <w:pPr>
              <w:pStyle w:val="ListBullet"/>
            </w:pPr>
            <w:r w:rsidRPr="002D10D2">
              <w:t>applicable documentation, including organisational policies and procedures, legislation, data and/or modelling applicable to ILS, industry standards and/or specifications and access to relevant organisational information management systems</w:t>
            </w:r>
          </w:p>
          <w:p w:rsidR="00000000" w:rsidRPr="002D10D2" w:rsidP="002D10D2">
            <w:pPr>
              <w:pStyle w:val="ListBullet"/>
            </w:pPr>
            <w:r w:rsidRPr="002D10D2">
              <w:t>relevant materia</w:t>
            </w:r>
            <w:r w:rsidRPr="002D10D2">
              <w:t>ls, tools, equipment and personal protective equipment (PPE) currently used in industry.</w:t>
            </w:r>
          </w:p>
        </w:tc>
      </w:tr>
    </w:tbl>
    <w:p w:rsidR="004E48B2" w:rsidP="002D10D2">
      <w:pPr>
        <w:pStyle w:val="NoPaddingFontSize1"/>
      </w:pPr>
    </w:p>
    <w:p w:rsidR="004E48B2" w:rsidP="002D10D2">
      <w:pPr>
        <w:pStyle w:val="NoPaddingFontSize1"/>
      </w:pPr>
    </w:p>
    <w:p w:rsidR="00000000" w:rsidRPr="002D10D2" w:rsidP="002D10D2">
      <w:pPr>
        <w:pStyle w:val="Heading1"/>
      </w:pPr>
      <w:bookmarkStart w:id="15" w:name="O_1167694"/>
      <w:bookmarkEnd w:id="15"/>
      <w:r w:rsidRPr="002D10D2">
        <w:t>Links</w:t>
      </w:r>
    </w:p>
    <w:p w:rsidR="00000000" w:rsidRPr="002D10D2" w:rsidP="004E48B2">
      <w:pPr>
        <w:pStyle w:val="BodyText"/>
      </w:pPr>
      <w:r w:rsidRPr="002D10D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B2B74">
        <w:rPr>
          <w:rStyle w:val="Hyperlink"/>
        </w:rPr>
        <w:t>https://vetnet.gov.au/Pages/TrainingDocs.aspx?q=df441c6e-213d-43e3-874c-0b3f7036d851</w:t>
      </w:r>
      <w:r>
        <w:fldChar w:fldCharType="end"/>
      </w:r>
    </w:p>
    <w:p w:rsidR="00000000" w:rsidRPr="002D10D2" w:rsidP="002D10D2"/>
    <w:sectPr w:rsidSect="002D10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D2" w:rsidRPr="004E48B2" w:rsidP="004E4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B2" w:rsidP="002D1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8B2" w:rsidP="002D10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E48B2" w:rsidP="002D10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D2" w:rsidP="002D10D2">
    <w:pPr>
      <w:pStyle w:val="Footer"/>
      <w:framePr w:wrap="around"/>
    </w:pPr>
    <w:r>
      <w:fldChar w:fldCharType="begin"/>
    </w:r>
    <w:r>
      <w:instrText xml:space="preserve"> DOCPROPERTY  Subject  \* MERGEFORMAT </w:instrText>
    </w:r>
    <w:r>
      <w:fldChar w:fldCharType="separate"/>
    </w:r>
    <w:r w:rsidR="004E48B2">
      <w:t>Approved</w:t>
    </w:r>
    <w:r w:rsidR="004E48B2">
      <w:fldChar w:fldCharType="end"/>
    </w:r>
    <w:r>
      <w:tab/>
      <w:t xml:space="preserve">Page </w:t>
    </w:r>
    <w:r>
      <w:fldChar w:fldCharType="begin"/>
    </w:r>
    <w:r>
      <w:instrText xml:space="preserve"> PAGE  \* Arabic  \* MERGEFORMAT </w:instrText>
    </w:r>
    <w:r>
      <w:fldChar w:fldCharType="separate"/>
    </w:r>
    <w:r w:rsidR="004E48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48B2">
      <w:rPr>
        <w:noProof/>
      </w:rPr>
      <w:t>4</w:t>
    </w:r>
    <w:r>
      <w:rPr>
        <w:noProof/>
      </w:rPr>
      <w:fldChar w:fldCharType="end"/>
    </w:r>
  </w:p>
  <w:p w:rsidR="002D10D2" w:rsidP="002D10D2">
    <w:pPr>
      <w:pStyle w:val="Footer"/>
      <w:framePr w:wrap="around"/>
    </w:pPr>
    <w:r>
      <w:t xml:space="preserve">© Commonwealth of Australia, </w:t>
    </w:r>
    <w:r>
      <w:fldChar w:fldCharType="begin"/>
    </w:r>
    <w:r>
      <w:instrText xml:space="preserve"> DATE  \@ "yyyy"  \* MERGEFORMAT </w:instrText>
    </w:r>
    <w:r>
      <w:fldChar w:fldCharType="separate"/>
    </w:r>
    <w:r w:rsidR="004E48B2">
      <w:rPr>
        <w:noProof/>
      </w:rPr>
      <w:t>2025</w:t>
    </w:r>
    <w:r>
      <w:fldChar w:fldCharType="end"/>
    </w:r>
    <w:r>
      <w:tab/>
    </w:r>
    <w:r>
      <w:fldChar w:fldCharType="begin"/>
    </w:r>
    <w:r>
      <w:instrText xml:space="preserve"> DOCPROPERTY  Author  \* MERGEFORMAT </w:instrText>
    </w:r>
    <w:r>
      <w:fldChar w:fldCharType="separate"/>
    </w:r>
    <w:r w:rsidR="004E48B2">
      <w:t>Industry Skills Australia</w:t>
    </w:r>
    <w:r w:rsidR="004E48B2">
      <w:fldChar w:fldCharType="end"/>
    </w:r>
  </w:p>
  <w:p w:rsidR="002D10D2" w:rsidP="002D1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0D2" w:rsidRPr="004E48B2" w:rsidP="004E4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B2" w:rsidRPr="002D2AF8" w:rsidP="002D10D2">
    <w:pPr>
      <w:pStyle w:val="Header"/>
      <w:framePr w:wrap="around"/>
    </w:pPr>
    <w:r>
      <w:fldChar w:fldCharType="begin"/>
    </w:r>
    <w:r>
      <w:instrText xml:space="preserve"> TITLE   \* MERGEFORMAT </w:instrText>
    </w:r>
    <w:r>
      <w:fldChar w:fldCharType="separate"/>
    </w:r>
    <w:r>
      <w:t>TLIX0032X Undertake configuration management to support integrated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48B2" w:rsidP="002D10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D2" w:rsidRPr="002D2AF8" w:rsidP="002D10D2">
    <w:pPr>
      <w:pStyle w:val="Header"/>
      <w:framePr w:wrap="around"/>
    </w:pPr>
    <w:r>
      <w:fldChar w:fldCharType="begin"/>
    </w:r>
    <w:r>
      <w:instrText xml:space="preserve"> TITLE   \* MERGEFORMAT </w:instrText>
    </w:r>
    <w:r>
      <w:fldChar w:fldCharType="separate"/>
    </w:r>
    <w:r w:rsidR="004E48B2">
      <w:t>TLIX0032X Undertake configuration management to support integrated logistics</w:t>
    </w:r>
    <w:r w:rsidR="004E48B2">
      <w:fldChar w:fldCharType="end"/>
    </w:r>
    <w:r>
      <w:tab/>
      <w:t xml:space="preserve">Date this document was generated: </w:t>
    </w:r>
    <w:r>
      <w:fldChar w:fldCharType="begin"/>
    </w:r>
    <w:r>
      <w:instrText xml:space="preserve"> CREATEDATE  \@ "d MMMM yyyy"  \* MERGEFORMAT </w:instrText>
    </w:r>
    <w:r>
      <w:fldChar w:fldCharType="separate"/>
    </w:r>
    <w:r w:rsidR="004E48B2">
      <w:rPr>
        <w:noProof/>
      </w:rPr>
      <w:t>2 March 2025</w:t>
    </w:r>
    <w:r>
      <w:fldChar w:fldCharType="end"/>
    </w:r>
  </w:p>
  <w:p w:rsidR="002D10D2" w:rsidP="002D1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E6C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AE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2A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0D2"/>
    <w:pPr>
      <w:spacing w:before="360" w:after="60"/>
      <w:outlineLvl w:val="0"/>
    </w:pPr>
    <w:rPr>
      <w:sz w:val="32"/>
    </w:rPr>
  </w:style>
  <w:style w:type="paragraph" w:styleId="Heading2">
    <w:name w:val="heading 2"/>
    <w:basedOn w:val="HeadingBase"/>
    <w:next w:val="BodyText"/>
    <w:link w:val="Heading2Char"/>
    <w:qFormat/>
    <w:rsid w:val="002D10D2"/>
    <w:pPr>
      <w:keepLines/>
      <w:spacing w:before="240" w:after="120"/>
      <w:outlineLvl w:val="1"/>
    </w:pPr>
    <w:rPr>
      <w:sz w:val="28"/>
      <w:szCs w:val="40"/>
    </w:rPr>
  </w:style>
  <w:style w:type="paragraph" w:styleId="Heading3">
    <w:name w:val="heading 3"/>
    <w:basedOn w:val="HeadingBase"/>
    <w:next w:val="BodyText"/>
    <w:link w:val="Heading3Char"/>
    <w:qFormat/>
    <w:rsid w:val="002D10D2"/>
    <w:pPr>
      <w:spacing w:before="180" w:after="120"/>
      <w:outlineLvl w:val="2"/>
    </w:pPr>
    <w:rPr>
      <w:spacing w:val="-10"/>
      <w:kern w:val="32"/>
    </w:rPr>
  </w:style>
  <w:style w:type="paragraph" w:styleId="Heading4">
    <w:name w:val="heading 4"/>
    <w:basedOn w:val="HeadingBase"/>
    <w:next w:val="BodyText"/>
    <w:link w:val="Heading4Char"/>
    <w:qFormat/>
    <w:rsid w:val="002D10D2"/>
    <w:pPr>
      <w:spacing w:before="160" w:after="120"/>
      <w:outlineLvl w:val="3"/>
    </w:pPr>
    <w:rPr>
      <w:sz w:val="22"/>
    </w:rPr>
  </w:style>
  <w:style w:type="paragraph" w:styleId="Heading5">
    <w:name w:val="heading 5"/>
    <w:basedOn w:val="HeadingBase"/>
    <w:next w:val="Normal"/>
    <w:link w:val="Heading5Char"/>
    <w:qFormat/>
    <w:rsid w:val="002D10D2"/>
    <w:pPr>
      <w:spacing w:before="80"/>
      <w:outlineLvl w:val="4"/>
    </w:pPr>
    <w:rPr>
      <w:color w:val="918585"/>
      <w:sz w:val="20"/>
    </w:rPr>
  </w:style>
  <w:style w:type="paragraph" w:styleId="Heading6">
    <w:name w:val="heading 6"/>
    <w:basedOn w:val="HeadingBase"/>
    <w:next w:val="Normal"/>
    <w:link w:val="Heading6Char"/>
    <w:qFormat/>
    <w:rsid w:val="002D10D2"/>
    <w:pPr>
      <w:spacing w:before="60"/>
      <w:outlineLvl w:val="5"/>
    </w:pPr>
    <w:rPr>
      <w:color w:val="918585"/>
      <w:sz w:val="20"/>
    </w:rPr>
  </w:style>
  <w:style w:type="paragraph" w:styleId="Heading7">
    <w:name w:val="heading 7"/>
    <w:basedOn w:val="Normal"/>
    <w:next w:val="Normal"/>
    <w:link w:val="Heading7Char"/>
    <w:qFormat/>
    <w:rsid w:val="002D10D2"/>
    <w:pPr>
      <w:ind w:left="720"/>
      <w:outlineLvl w:val="6"/>
    </w:pPr>
    <w:rPr>
      <w:i/>
    </w:rPr>
  </w:style>
  <w:style w:type="paragraph" w:styleId="Heading8">
    <w:name w:val="heading 8"/>
    <w:basedOn w:val="Normal"/>
    <w:next w:val="Normal"/>
    <w:link w:val="Heading8Char"/>
    <w:qFormat/>
    <w:rsid w:val="002D10D2"/>
    <w:pPr>
      <w:ind w:left="720"/>
      <w:outlineLvl w:val="7"/>
    </w:pPr>
    <w:rPr>
      <w:i/>
    </w:rPr>
  </w:style>
  <w:style w:type="paragraph" w:styleId="Heading9">
    <w:name w:val="heading 9"/>
    <w:basedOn w:val="Normal"/>
    <w:next w:val="Normal"/>
    <w:link w:val="Heading9Char"/>
    <w:qFormat/>
    <w:rsid w:val="002D10D2"/>
    <w:pPr>
      <w:ind w:left="720"/>
      <w:outlineLvl w:val="8"/>
    </w:pPr>
    <w:rPr>
      <w:i/>
    </w:rPr>
  </w:style>
  <w:style w:type="character" w:default="1" w:styleId="DefaultParagraphFont">
    <w:name w:val="Default Paragraph Font"/>
    <w:uiPriority w:val="1"/>
    <w:unhideWhenUsed/>
    <w:rsid w:val="002D1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0D2"/>
  </w:style>
  <w:style w:type="character" w:customStyle="1" w:styleId="Heading1Char">
    <w:name w:val="Heading 1 Char"/>
    <w:basedOn w:val="DefaultParagraphFont"/>
    <w:link w:val="Heading1"/>
    <w:rsid w:val="002D10D2"/>
    <w:rPr>
      <w:rFonts w:ascii="Times New Roman" w:eastAsia="Times New Roman" w:hAnsi="Times New Roman" w:cs="Times New Roman"/>
      <w:b/>
      <w:sz w:val="32"/>
      <w:szCs w:val="20"/>
      <w:lang w:eastAsia="en-US"/>
    </w:rPr>
  </w:style>
  <w:style w:type="paragraph" w:styleId="BodyText">
    <w:name w:val="Body Text"/>
    <w:basedOn w:val="Normal"/>
    <w:link w:val="BodyTextChar"/>
    <w:rsid w:val="002D1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0D2"/>
    <w:rPr>
      <w:rFonts w:ascii="Times New Roman" w:eastAsia="Times New Roman" w:hAnsi="Times New Roman" w:cs="Times New Roman"/>
      <w:sz w:val="24"/>
      <w:lang w:eastAsia="en-US"/>
    </w:rPr>
  </w:style>
  <w:style w:type="paragraph" w:styleId="ListBullet">
    <w:name w:val="List Bullet"/>
    <w:basedOn w:val="List"/>
    <w:rsid w:val="002D10D2"/>
    <w:pPr>
      <w:numPr>
        <w:numId w:val="12"/>
      </w:numPr>
      <w:tabs>
        <w:tab w:val="clear" w:pos="340"/>
      </w:tabs>
      <w:spacing w:before="40" w:after="40"/>
    </w:pPr>
  </w:style>
  <w:style w:type="character" w:customStyle="1" w:styleId="SpecialBold">
    <w:name w:val="Special Bold"/>
    <w:basedOn w:val="DefaultParagraphFont"/>
    <w:rsid w:val="002D10D2"/>
    <w:rPr>
      <w:b/>
      <w:spacing w:val="0"/>
    </w:rPr>
  </w:style>
  <w:style w:type="paragraph" w:styleId="ListBullet2">
    <w:name w:val="List Bullet 2"/>
    <w:basedOn w:val="List2"/>
    <w:rsid w:val="002D10D2"/>
    <w:pPr>
      <w:numPr>
        <w:numId w:val="13"/>
      </w:numPr>
      <w:tabs>
        <w:tab w:val="clear" w:pos="680"/>
      </w:tabs>
    </w:pPr>
  </w:style>
  <w:style w:type="paragraph" w:customStyle="1" w:styleId="SuperHeading">
    <w:name w:val="SuperHeading"/>
    <w:basedOn w:val="Normal"/>
    <w:rsid w:val="002D10D2"/>
    <w:pPr>
      <w:spacing w:before="240" w:after="120"/>
      <w:outlineLvl w:val="0"/>
    </w:pPr>
    <w:rPr>
      <w:rFonts w:ascii="Times New Roman" w:hAnsi="Times New Roman"/>
      <w:b/>
      <w:sz w:val="32"/>
    </w:rPr>
  </w:style>
  <w:style w:type="paragraph" w:customStyle="1" w:styleId="AllowPageBreak">
    <w:name w:val="AllowPageBreak"/>
    <w:rsid w:val="002D10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1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0D2"/>
    <w:rPr>
      <w:rFonts w:ascii="Courier New" w:eastAsia="Times New Roman" w:hAnsi="Courier New" w:cs="Times New Roman"/>
      <w:i/>
      <w:szCs w:val="20"/>
      <w:lang w:eastAsia="en-US"/>
    </w:rPr>
  </w:style>
  <w:style w:type="paragraph" w:customStyle="1" w:styleId="HeadingBase">
    <w:name w:val="Heading Base"/>
    <w:rsid w:val="002D1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0D2"/>
    <w:pPr>
      <w:tabs>
        <w:tab w:val="right" w:leader="dot" w:pos="9072"/>
      </w:tabs>
      <w:ind w:left="567"/>
    </w:pPr>
    <w:rPr>
      <w:szCs w:val="22"/>
    </w:rPr>
  </w:style>
  <w:style w:type="paragraph" w:customStyle="1" w:styleId="TOCBase">
    <w:name w:val="TOC Base"/>
    <w:rsid w:val="002D1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0D2"/>
    <w:pPr>
      <w:tabs>
        <w:tab w:val="right" w:leader="dot" w:pos="9072"/>
      </w:tabs>
      <w:spacing w:before="40" w:after="40"/>
      <w:ind w:left="284"/>
    </w:pPr>
    <w:rPr>
      <w:rFonts w:ascii="Times New Roman" w:hAnsi="Times New Roman"/>
    </w:rPr>
  </w:style>
  <w:style w:type="paragraph" w:styleId="TOC1">
    <w:name w:val="toc 1"/>
    <w:basedOn w:val="TOCBase"/>
    <w:next w:val="Normal"/>
    <w:rsid w:val="002D1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0D2"/>
    <w:rPr>
      <w:rFonts w:ascii="Times New Roman" w:eastAsia="Times New Roman" w:hAnsi="Times New Roman" w:cs="Times New Roman"/>
      <w:sz w:val="16"/>
      <w:lang w:eastAsia="en-US"/>
    </w:rPr>
  </w:style>
  <w:style w:type="paragraph" w:styleId="Title">
    <w:name w:val="Title"/>
    <w:basedOn w:val="HeadingBase"/>
    <w:link w:val="TitleChar"/>
    <w:qFormat/>
    <w:rsid w:val="002D10D2"/>
    <w:pPr>
      <w:spacing w:before="5040"/>
      <w:jc w:val="center"/>
    </w:pPr>
    <w:rPr>
      <w:sz w:val="48"/>
      <w:szCs w:val="72"/>
      <w:lang w:val="en-US"/>
    </w:rPr>
  </w:style>
  <w:style w:type="character" w:customStyle="1" w:styleId="TitleChar">
    <w:name w:val="Title Char"/>
    <w:basedOn w:val="DefaultParagraphFont"/>
    <w:link w:val="Title"/>
    <w:rsid w:val="002D1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0D2"/>
    <w:pPr>
      <w:tabs>
        <w:tab w:val="left" w:pos="3600"/>
        <w:tab w:val="left" w:pos="3958"/>
      </w:tabs>
    </w:pPr>
  </w:style>
  <w:style w:type="paragraph" w:styleId="List">
    <w:name w:val="List"/>
    <w:basedOn w:val="BodyText"/>
    <w:next w:val="BodyText"/>
    <w:rsid w:val="002D10D2"/>
    <w:pPr>
      <w:tabs>
        <w:tab w:val="left" w:pos="340"/>
      </w:tabs>
      <w:spacing w:before="60" w:after="60"/>
      <w:ind w:left="340" w:hanging="340"/>
    </w:pPr>
  </w:style>
  <w:style w:type="paragraph" w:customStyle="1" w:styleId="Note">
    <w:name w:val="Note"/>
    <w:basedOn w:val="BodyText"/>
    <w:rsid w:val="002D10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0D2"/>
    <w:pPr>
      <w:framePr w:wrap="auto" w:hAnchor="text" w:y="6049"/>
    </w:pPr>
    <w:rPr>
      <w:color w:val="000000"/>
      <w:sz w:val="40"/>
    </w:rPr>
  </w:style>
  <w:style w:type="paragraph" w:customStyle="1" w:styleId="TOCTitle">
    <w:name w:val="TOCTitle"/>
    <w:basedOn w:val="Heading1"/>
    <w:rsid w:val="002D10D2"/>
    <w:pPr>
      <w:spacing w:after="240"/>
      <w:jc w:val="center"/>
      <w:outlineLvl w:val="9"/>
    </w:pPr>
    <w:rPr>
      <w:caps/>
    </w:rPr>
  </w:style>
  <w:style w:type="paragraph" w:customStyle="1" w:styleId="Version">
    <w:name w:val="Version"/>
    <w:rsid w:val="002D1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0D2"/>
    <w:pPr>
      <w:keepNext w:val="0"/>
      <w:tabs>
        <w:tab w:val="right" w:pos="4176"/>
      </w:tabs>
      <w:ind w:left="198" w:hanging="198"/>
    </w:pPr>
    <w:rPr>
      <w:rFonts w:ascii="Garamond" w:hAnsi="Garamond"/>
    </w:rPr>
  </w:style>
  <w:style w:type="paragraph" w:styleId="IndexHeading">
    <w:name w:val="index heading"/>
    <w:basedOn w:val="Normal"/>
    <w:next w:val="Index1"/>
    <w:semiHidden/>
    <w:rsid w:val="002D10D2"/>
    <w:pPr>
      <w:spacing w:before="120" w:after="120"/>
    </w:pPr>
    <w:rPr>
      <w:rFonts w:ascii="Arial" w:hAnsi="Arial"/>
      <w:b/>
      <w:color w:val="918585"/>
      <w:sz w:val="24"/>
    </w:rPr>
  </w:style>
  <w:style w:type="paragraph" w:styleId="Header">
    <w:name w:val="header"/>
    <w:basedOn w:val="Normal"/>
    <w:link w:val="HeaderChar"/>
    <w:rsid w:val="002D1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0D2"/>
    <w:rPr>
      <w:rFonts w:ascii="Times New Roman" w:eastAsia="Times New Roman" w:hAnsi="Times New Roman" w:cs="Times New Roman"/>
      <w:sz w:val="16"/>
      <w:szCs w:val="20"/>
      <w:lang w:val="en-GB" w:eastAsia="en-US"/>
    </w:rPr>
  </w:style>
  <w:style w:type="paragraph" w:customStyle="1" w:styleId="Chapter">
    <w:name w:val="Chapter"/>
    <w:basedOn w:val="Normal"/>
    <w:rsid w:val="002D10D2"/>
    <w:pPr>
      <w:spacing w:before="240"/>
    </w:pPr>
    <w:rPr>
      <w:rFonts w:ascii="Times New Roman" w:hAnsi="Times New Roman"/>
      <w:smallCaps/>
      <w:spacing w:val="80"/>
      <w:sz w:val="28"/>
    </w:rPr>
  </w:style>
  <w:style w:type="paragraph" w:customStyle="1" w:styleId="InChapter">
    <w:name w:val="InChapter"/>
    <w:basedOn w:val="Heading3"/>
    <w:rsid w:val="002D10D2"/>
    <w:pPr>
      <w:spacing w:after="240"/>
      <w:outlineLvl w:val="9"/>
    </w:pPr>
    <w:rPr>
      <w:noProof/>
    </w:rPr>
  </w:style>
  <w:style w:type="paragraph" w:styleId="Index2">
    <w:name w:val="index 2"/>
    <w:basedOn w:val="Normal"/>
    <w:next w:val="Normal"/>
    <w:semiHidden/>
    <w:rsid w:val="002D10D2"/>
    <w:pPr>
      <w:tabs>
        <w:tab w:val="right" w:pos="4176"/>
      </w:tabs>
      <w:ind w:left="568" w:hanging="284"/>
    </w:pPr>
    <w:rPr>
      <w:rFonts w:ascii="Garamond" w:hAnsi="Garamond"/>
    </w:rPr>
  </w:style>
  <w:style w:type="paragraph" w:customStyle="1" w:styleId="Byline">
    <w:name w:val="Byline"/>
    <w:rsid w:val="002D1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0D2"/>
    <w:pPr>
      <w:tabs>
        <w:tab w:val="clear" w:pos="3600"/>
        <w:tab w:val="clear" w:pos="3958"/>
      </w:tabs>
      <w:jc w:val="right"/>
    </w:pPr>
  </w:style>
  <w:style w:type="character" w:styleId="Emphasis">
    <w:name w:val="Emphasis"/>
    <w:basedOn w:val="DefaultParagraphFont"/>
    <w:qFormat/>
    <w:rsid w:val="002D10D2"/>
    <w:rPr>
      <w:i/>
    </w:rPr>
  </w:style>
  <w:style w:type="paragraph" w:styleId="Caption">
    <w:name w:val="caption"/>
    <w:basedOn w:val="BodyText"/>
    <w:next w:val="Normal"/>
    <w:qFormat/>
    <w:rsid w:val="002D10D2"/>
    <w:pPr>
      <w:framePr w:w="2268" w:hSpace="181" w:vSpace="181" w:wrap="around" w:vAnchor="text" w:hAnchor="page" w:x="1135" w:y="285" w:anchorLock="1"/>
    </w:pPr>
    <w:rPr>
      <w:i/>
    </w:rPr>
  </w:style>
  <w:style w:type="paragraph" w:customStyle="1" w:styleId="MiniTOCTitle">
    <w:name w:val="MiniTOCTitle"/>
    <w:basedOn w:val="Heading4"/>
    <w:rsid w:val="002D10D2"/>
    <w:pPr>
      <w:spacing w:before="240"/>
      <w:outlineLvl w:val="9"/>
    </w:pPr>
    <w:rPr>
      <w:noProof/>
      <w:sz w:val="24"/>
    </w:rPr>
  </w:style>
  <w:style w:type="paragraph" w:customStyle="1" w:styleId="MiniTOCItem">
    <w:name w:val="MiniTOCItem"/>
    <w:basedOn w:val="ListBullet"/>
    <w:rsid w:val="002D10D2"/>
    <w:pPr>
      <w:numPr>
        <w:numId w:val="0"/>
      </w:numPr>
      <w:tabs>
        <w:tab w:val="right" w:leader="dot" w:pos="6521"/>
      </w:tabs>
      <w:spacing w:before="0" w:after="0"/>
    </w:pPr>
  </w:style>
  <w:style w:type="paragraph" w:customStyle="1" w:styleId="TOFTitle">
    <w:name w:val="TOFTitle"/>
    <w:basedOn w:val="TOCTitle"/>
    <w:rsid w:val="002D10D2"/>
  </w:style>
  <w:style w:type="paragraph" w:styleId="TableofFigures">
    <w:name w:val="table of figures"/>
    <w:basedOn w:val="Normal"/>
    <w:next w:val="Normal"/>
    <w:semiHidden/>
    <w:rsid w:val="002D10D2"/>
    <w:pPr>
      <w:tabs>
        <w:tab w:val="right" w:leader="dot" w:pos="9072"/>
      </w:tabs>
      <w:ind w:left="970" w:hanging="403"/>
    </w:pPr>
    <w:rPr>
      <w:rFonts w:ascii="Times New Roman" w:hAnsi="Times New Roman"/>
      <w:b/>
    </w:rPr>
  </w:style>
  <w:style w:type="paragraph" w:styleId="ListNumber">
    <w:name w:val="List Number"/>
    <w:basedOn w:val="List"/>
    <w:rsid w:val="002D10D2"/>
    <w:pPr>
      <w:numPr>
        <w:numId w:val="15"/>
      </w:numPr>
      <w:tabs>
        <w:tab w:val="clear" w:pos="340"/>
      </w:tabs>
    </w:pPr>
  </w:style>
  <w:style w:type="character" w:customStyle="1" w:styleId="WingdingSymbols">
    <w:name w:val="Wingding Symbols"/>
    <w:rsid w:val="002D10D2"/>
    <w:rPr>
      <w:rFonts w:ascii="Wingdings" w:hAnsi="Wingdings"/>
    </w:rPr>
  </w:style>
  <w:style w:type="paragraph" w:customStyle="1" w:styleId="TableHeading">
    <w:name w:val="Table Heading"/>
    <w:basedOn w:val="HeadingBase"/>
    <w:rsid w:val="002D10D2"/>
    <w:pPr>
      <w:keepLines/>
      <w:pBdr>
        <w:bottom w:val="single" w:sz="6" w:space="1" w:color="918585"/>
      </w:pBdr>
      <w:spacing w:before="240"/>
    </w:pPr>
  </w:style>
  <w:style w:type="character" w:customStyle="1" w:styleId="HotSpot">
    <w:name w:val="HotSpot"/>
    <w:rsid w:val="002D10D2"/>
    <w:rPr>
      <w:color w:val="0033CC"/>
      <w:u w:val="none"/>
    </w:rPr>
  </w:style>
  <w:style w:type="paragraph" w:customStyle="1" w:styleId="BodyTextRight">
    <w:name w:val="Body Text Right"/>
    <w:basedOn w:val="BodyText"/>
    <w:rsid w:val="002D10D2"/>
    <w:pPr>
      <w:spacing w:before="0" w:after="0"/>
      <w:jc w:val="right"/>
    </w:pPr>
  </w:style>
  <w:style w:type="paragraph" w:styleId="Index3">
    <w:name w:val="index 3"/>
    <w:basedOn w:val="ListNumber2"/>
    <w:next w:val="Normal"/>
    <w:semiHidden/>
    <w:rsid w:val="002D10D2"/>
    <w:pPr>
      <w:numPr>
        <w:numId w:val="0"/>
      </w:numPr>
      <w:tabs>
        <w:tab w:val="right" w:leader="dot" w:pos="4176"/>
      </w:tabs>
    </w:pPr>
  </w:style>
  <w:style w:type="paragraph" w:styleId="ListNumber2">
    <w:name w:val="List Number 2"/>
    <w:basedOn w:val="List2"/>
    <w:rsid w:val="002D10D2"/>
    <w:pPr>
      <w:numPr>
        <w:numId w:val="10"/>
      </w:numPr>
      <w:tabs>
        <w:tab w:val="clear" w:pos="1060"/>
      </w:tabs>
    </w:pPr>
  </w:style>
  <w:style w:type="paragraph" w:customStyle="1" w:styleId="MarginNote">
    <w:name w:val="Margin Note"/>
    <w:basedOn w:val="BodyText"/>
    <w:rsid w:val="002D1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0D2"/>
    <w:rPr>
      <w:sz w:val="32"/>
    </w:rPr>
  </w:style>
  <w:style w:type="paragraph" w:customStyle="1" w:styleId="HeadingProcedure">
    <w:name w:val="Heading Procedure"/>
    <w:basedOn w:val="HeadingBase"/>
    <w:next w:val="Normal"/>
    <w:rsid w:val="002D10D2"/>
    <w:pPr>
      <w:tabs>
        <w:tab w:val="left" w:pos="0"/>
      </w:tabs>
      <w:spacing w:before="120" w:after="60"/>
    </w:pPr>
    <w:rPr>
      <w:i/>
      <w:color w:val="918585"/>
      <w:sz w:val="22"/>
    </w:rPr>
  </w:style>
  <w:style w:type="paragraph" w:customStyle="1" w:styleId="TableBodyText">
    <w:name w:val="Table Body Text"/>
    <w:basedOn w:val="BodyText"/>
    <w:rsid w:val="002D10D2"/>
    <w:pPr>
      <w:spacing w:before="60" w:after="60"/>
    </w:pPr>
  </w:style>
  <w:style w:type="paragraph" w:styleId="ListContinue">
    <w:name w:val="List Continue"/>
    <w:basedOn w:val="List"/>
    <w:rsid w:val="002D10D2"/>
    <w:pPr>
      <w:ind w:firstLine="0"/>
    </w:pPr>
  </w:style>
  <w:style w:type="paragraph" w:customStyle="1" w:styleId="ListNote">
    <w:name w:val="List Note"/>
    <w:basedOn w:val="List"/>
    <w:rsid w:val="002D10D2"/>
    <w:pPr>
      <w:pBdr>
        <w:top w:val="single" w:sz="6" w:space="2" w:color="918585"/>
        <w:bottom w:val="single" w:sz="6" w:space="2" w:color="918585"/>
      </w:pBdr>
      <w:tabs>
        <w:tab w:val="left" w:pos="1021"/>
      </w:tabs>
      <w:ind w:firstLine="0"/>
    </w:pPr>
  </w:style>
  <w:style w:type="paragraph" w:customStyle="1" w:styleId="Warning">
    <w:name w:val="Warning"/>
    <w:basedOn w:val="BodyText"/>
    <w:rsid w:val="002D10D2"/>
    <w:pPr>
      <w:shd w:val="clear" w:color="auto" w:fill="D9D9D9"/>
      <w:tabs>
        <w:tab w:val="left" w:pos="992"/>
      </w:tabs>
      <w:ind w:left="119" w:right="119"/>
    </w:pPr>
    <w:rPr>
      <w:sz w:val="20"/>
    </w:rPr>
  </w:style>
  <w:style w:type="paragraph" w:customStyle="1" w:styleId="MarginIcons">
    <w:name w:val="Margin Icons"/>
    <w:basedOn w:val="BodyText"/>
    <w:rsid w:val="002D1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0D2"/>
    <w:rPr>
      <w:rFonts w:ascii="Courier New" w:hAnsi="Courier New"/>
    </w:rPr>
  </w:style>
  <w:style w:type="paragraph" w:customStyle="1" w:styleId="NoteBullet">
    <w:name w:val="Note Bullet"/>
    <w:basedOn w:val="Note"/>
    <w:rsid w:val="002D10D2"/>
    <w:pPr>
      <w:tabs>
        <w:tab w:val="clear" w:pos="680"/>
      </w:tabs>
      <w:spacing w:before="60" w:after="60"/>
    </w:pPr>
  </w:style>
  <w:style w:type="paragraph" w:customStyle="1" w:styleId="SubHeading2">
    <w:name w:val="SubHeading2"/>
    <w:basedOn w:val="HeadingBase"/>
    <w:rsid w:val="002D10D2"/>
    <w:pPr>
      <w:spacing w:before="240" w:after="60"/>
    </w:pPr>
    <w:rPr>
      <w:sz w:val="20"/>
    </w:rPr>
  </w:style>
  <w:style w:type="paragraph" w:customStyle="1" w:styleId="SubHeading1">
    <w:name w:val="SubHeading1"/>
    <w:basedOn w:val="HeadingBase"/>
    <w:rsid w:val="002D10D2"/>
    <w:pPr>
      <w:spacing w:before="240" w:after="60"/>
    </w:pPr>
    <w:rPr>
      <w:color w:val="918585"/>
      <w:sz w:val="22"/>
    </w:rPr>
  </w:style>
  <w:style w:type="paragraph" w:customStyle="1" w:styleId="SideHeading">
    <w:name w:val="Side Heading"/>
    <w:basedOn w:val="HeadingBase"/>
    <w:rsid w:val="002D1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0D2"/>
    <w:pPr>
      <w:tabs>
        <w:tab w:val="num" w:pos="360"/>
      </w:tabs>
    </w:pPr>
  </w:style>
  <w:style w:type="paragraph" w:styleId="PlainText">
    <w:name w:val="Plain Text"/>
    <w:basedOn w:val="Normal"/>
    <w:link w:val="PlainTextChar"/>
    <w:rsid w:val="002D10D2"/>
    <w:rPr>
      <w:sz w:val="20"/>
    </w:rPr>
  </w:style>
  <w:style w:type="character" w:customStyle="1" w:styleId="PlainTextChar">
    <w:name w:val="Plain Text Char"/>
    <w:basedOn w:val="DefaultParagraphFont"/>
    <w:link w:val="PlainText"/>
    <w:rsid w:val="002D10D2"/>
    <w:rPr>
      <w:rFonts w:ascii="Courier New" w:eastAsia="Times New Roman" w:hAnsi="Courier New" w:cs="Times New Roman"/>
      <w:sz w:val="20"/>
      <w:szCs w:val="20"/>
      <w:lang w:eastAsia="en-US"/>
    </w:rPr>
  </w:style>
  <w:style w:type="character" w:customStyle="1" w:styleId="MenuOption">
    <w:name w:val="Menu Option"/>
    <w:basedOn w:val="DefaultParagraphFont"/>
    <w:rsid w:val="002D10D2"/>
    <w:rPr>
      <w:b/>
      <w:smallCaps/>
    </w:rPr>
  </w:style>
  <w:style w:type="paragraph" w:customStyle="1" w:styleId="TableListNumber">
    <w:name w:val="Table List Number"/>
    <w:basedOn w:val="ListNumber"/>
    <w:rsid w:val="002D10D2"/>
    <w:pPr>
      <w:numPr>
        <w:numId w:val="0"/>
      </w:numPr>
    </w:pPr>
  </w:style>
  <w:style w:type="paragraph" w:styleId="TOC4">
    <w:name w:val="toc 4"/>
    <w:basedOn w:val="TOCBase"/>
    <w:next w:val="Normal"/>
    <w:semiHidden/>
    <w:rsid w:val="002D10D2"/>
    <w:pPr>
      <w:tabs>
        <w:tab w:val="right" w:leader="dot" w:pos="9071"/>
      </w:tabs>
      <w:ind w:left="1701"/>
    </w:pPr>
  </w:style>
  <w:style w:type="paragraph" w:customStyle="1" w:styleId="ListAlpha">
    <w:name w:val="List Alpha"/>
    <w:basedOn w:val="List"/>
    <w:rsid w:val="002D10D2"/>
    <w:pPr>
      <w:numPr>
        <w:numId w:val="9"/>
      </w:numPr>
    </w:pPr>
  </w:style>
  <w:style w:type="paragraph" w:customStyle="1" w:styleId="ListAlpha2">
    <w:name w:val="List Alpha 2"/>
    <w:basedOn w:val="List2"/>
    <w:rsid w:val="002D10D2"/>
    <w:pPr>
      <w:numPr>
        <w:numId w:val="8"/>
      </w:numPr>
    </w:pPr>
  </w:style>
  <w:style w:type="paragraph" w:styleId="List2">
    <w:name w:val="List 2"/>
    <w:basedOn w:val="BodyText"/>
    <w:rsid w:val="002D10D2"/>
    <w:pPr>
      <w:tabs>
        <w:tab w:val="left" w:pos="680"/>
      </w:tabs>
      <w:spacing w:before="60" w:after="60"/>
      <w:ind w:left="680" w:hanging="340"/>
    </w:pPr>
  </w:style>
  <w:style w:type="paragraph" w:styleId="List3">
    <w:name w:val="List 3"/>
    <w:basedOn w:val="BodyText"/>
    <w:rsid w:val="002D10D2"/>
    <w:pPr>
      <w:tabs>
        <w:tab w:val="left" w:pos="1021"/>
      </w:tabs>
      <w:spacing w:before="60" w:after="60"/>
      <w:ind w:left="1020" w:hanging="340"/>
    </w:pPr>
  </w:style>
  <w:style w:type="paragraph" w:styleId="List4">
    <w:name w:val="List 4"/>
    <w:basedOn w:val="BodyText"/>
    <w:rsid w:val="002D10D2"/>
    <w:pPr>
      <w:tabs>
        <w:tab w:val="left" w:pos="1361"/>
      </w:tabs>
      <w:spacing w:before="60" w:after="60"/>
      <w:ind w:left="1361" w:hanging="340"/>
    </w:pPr>
  </w:style>
  <w:style w:type="paragraph" w:styleId="List5">
    <w:name w:val="List 5"/>
    <w:basedOn w:val="BodyText"/>
    <w:rsid w:val="002D10D2"/>
    <w:pPr>
      <w:tabs>
        <w:tab w:val="left" w:pos="1701"/>
      </w:tabs>
      <w:spacing w:before="60" w:after="60"/>
      <w:ind w:left="1701" w:hanging="340"/>
    </w:pPr>
  </w:style>
  <w:style w:type="paragraph" w:styleId="ListBullet3">
    <w:name w:val="List Bullet 3"/>
    <w:basedOn w:val="List3"/>
    <w:rsid w:val="002D10D2"/>
    <w:pPr>
      <w:numPr>
        <w:numId w:val="14"/>
      </w:numPr>
      <w:tabs>
        <w:tab w:val="clear" w:pos="1021"/>
      </w:tabs>
      <w:ind w:left="1037" w:hanging="357"/>
    </w:pPr>
  </w:style>
  <w:style w:type="paragraph" w:styleId="ListBullet4">
    <w:name w:val="List Bullet 4"/>
    <w:basedOn w:val="List4"/>
    <w:rsid w:val="002D10D2"/>
    <w:pPr>
      <w:numPr>
        <w:numId w:val="3"/>
      </w:numPr>
      <w:tabs>
        <w:tab w:val="clear" w:pos="1361"/>
      </w:tabs>
    </w:pPr>
  </w:style>
  <w:style w:type="paragraph" w:styleId="ListBullet5">
    <w:name w:val="List Bullet 5"/>
    <w:basedOn w:val="List5"/>
    <w:rsid w:val="002D10D2"/>
    <w:pPr>
      <w:numPr>
        <w:numId w:val="4"/>
      </w:numPr>
    </w:pPr>
  </w:style>
  <w:style w:type="paragraph" w:styleId="ListContinue2">
    <w:name w:val="List Continue 2"/>
    <w:basedOn w:val="List2"/>
    <w:rsid w:val="002D10D2"/>
    <w:pPr>
      <w:ind w:firstLine="0"/>
    </w:pPr>
  </w:style>
  <w:style w:type="paragraph" w:styleId="ListContinue3">
    <w:name w:val="List Continue 3"/>
    <w:basedOn w:val="List3"/>
    <w:rsid w:val="002D10D2"/>
    <w:pPr>
      <w:ind w:left="1021" w:firstLine="0"/>
    </w:pPr>
  </w:style>
  <w:style w:type="paragraph" w:styleId="ListContinue4">
    <w:name w:val="List Continue 4"/>
    <w:basedOn w:val="List4"/>
    <w:rsid w:val="002D10D2"/>
    <w:pPr>
      <w:ind w:firstLine="0"/>
    </w:pPr>
  </w:style>
  <w:style w:type="paragraph" w:styleId="ListContinue5">
    <w:name w:val="List Continue 5"/>
    <w:basedOn w:val="List5"/>
    <w:rsid w:val="002D10D2"/>
    <w:pPr>
      <w:ind w:firstLine="0"/>
    </w:pPr>
  </w:style>
  <w:style w:type="paragraph" w:styleId="ListNumber3">
    <w:name w:val="List Number 3"/>
    <w:basedOn w:val="List3"/>
    <w:rsid w:val="002D10D2"/>
    <w:pPr>
      <w:numPr>
        <w:numId w:val="5"/>
      </w:numPr>
    </w:pPr>
  </w:style>
  <w:style w:type="paragraph" w:styleId="ListNumber4">
    <w:name w:val="List Number 4"/>
    <w:basedOn w:val="List4"/>
    <w:rsid w:val="002D10D2"/>
    <w:pPr>
      <w:numPr>
        <w:numId w:val="6"/>
      </w:numPr>
    </w:pPr>
  </w:style>
  <w:style w:type="paragraph" w:styleId="ListNumber5">
    <w:name w:val="List Number 5"/>
    <w:basedOn w:val="List5"/>
    <w:rsid w:val="002D10D2"/>
    <w:pPr>
      <w:numPr>
        <w:numId w:val="7"/>
      </w:numPr>
    </w:pPr>
  </w:style>
  <w:style w:type="paragraph" w:styleId="BlockText">
    <w:name w:val="Block Text"/>
    <w:basedOn w:val="Normal"/>
    <w:rsid w:val="002D10D2"/>
    <w:pPr>
      <w:spacing w:after="120"/>
      <w:ind w:left="1440" w:right="1440"/>
    </w:pPr>
  </w:style>
  <w:style w:type="character" w:customStyle="1" w:styleId="Subscript">
    <w:name w:val="Subscript"/>
    <w:basedOn w:val="DefaultParagraphFont"/>
    <w:rsid w:val="002D10D2"/>
    <w:rPr>
      <w:sz w:val="16"/>
      <w:vertAlign w:val="subscript"/>
    </w:rPr>
  </w:style>
  <w:style w:type="character" w:customStyle="1" w:styleId="Superscript">
    <w:name w:val="Superscript"/>
    <w:basedOn w:val="DefaultParagraphFont"/>
    <w:rsid w:val="002D10D2"/>
    <w:rPr>
      <w:sz w:val="16"/>
      <w:vertAlign w:val="superscript"/>
    </w:rPr>
  </w:style>
  <w:style w:type="character" w:customStyle="1" w:styleId="Symbols">
    <w:name w:val="Symbols"/>
    <w:basedOn w:val="DefaultParagraphFont"/>
    <w:rsid w:val="002D10D2"/>
    <w:rPr>
      <w:rFonts w:ascii="Symbol" w:hAnsi="Symbol"/>
    </w:rPr>
  </w:style>
  <w:style w:type="character" w:customStyle="1" w:styleId="MenuOptions">
    <w:name w:val="Menu Options"/>
    <w:basedOn w:val="DefaultParagraphFont"/>
    <w:rsid w:val="002D10D2"/>
    <w:rPr>
      <w:rFonts w:ascii="Arial Narrow" w:hAnsi="Arial Narrow"/>
      <w:smallCaps/>
    </w:rPr>
  </w:style>
  <w:style w:type="character" w:customStyle="1" w:styleId="Buttons">
    <w:name w:val="Buttons"/>
    <w:basedOn w:val="DefaultParagraphFont"/>
    <w:rsid w:val="002D10D2"/>
    <w:rPr>
      <w:b/>
    </w:rPr>
  </w:style>
  <w:style w:type="character" w:customStyle="1" w:styleId="Underlined">
    <w:name w:val="Underlined"/>
    <w:basedOn w:val="DefaultParagraphFont"/>
    <w:rsid w:val="002D10D2"/>
    <w:rPr>
      <w:u w:val="single"/>
    </w:rPr>
  </w:style>
  <w:style w:type="paragraph" w:customStyle="1" w:styleId="TableBodyTextRight">
    <w:name w:val="Table Body Text Right"/>
    <w:basedOn w:val="TableBodyText"/>
    <w:rsid w:val="002D10D2"/>
    <w:pPr>
      <w:widowControl w:val="0"/>
      <w:autoSpaceDE w:val="0"/>
      <w:autoSpaceDN w:val="0"/>
      <w:adjustRightInd w:val="0"/>
      <w:jc w:val="right"/>
    </w:pPr>
    <w:rPr>
      <w:rFonts w:cs="Arial"/>
      <w:szCs w:val="18"/>
    </w:rPr>
  </w:style>
  <w:style w:type="paragraph" w:customStyle="1" w:styleId="CopyrightText">
    <w:name w:val="Copyright Text"/>
    <w:basedOn w:val="BodyText"/>
    <w:rsid w:val="002D10D2"/>
    <w:rPr>
      <w:sz w:val="18"/>
    </w:rPr>
  </w:style>
  <w:style w:type="paragraph" w:customStyle="1" w:styleId="BodySmallRight">
    <w:name w:val="Body Small Right"/>
    <w:basedOn w:val="BodyTextRight"/>
    <w:rsid w:val="002D10D2"/>
    <w:rPr>
      <w:sz w:val="18"/>
      <w:szCs w:val="18"/>
    </w:rPr>
  </w:style>
  <w:style w:type="paragraph" w:customStyle="1" w:styleId="MarginEdition">
    <w:name w:val="Margin Edition"/>
    <w:basedOn w:val="MarginNote"/>
    <w:rsid w:val="002D10D2"/>
    <w:pPr>
      <w:spacing w:before="0" w:after="0"/>
    </w:pPr>
    <w:rPr>
      <w:rFonts w:ascii="Times New Roman" w:hAnsi="Times New Roman"/>
      <w:color w:val="999999"/>
    </w:rPr>
  </w:style>
  <w:style w:type="paragraph" w:customStyle="1" w:styleId="Spacer">
    <w:name w:val="Spacer"/>
    <w:basedOn w:val="Normal"/>
    <w:rsid w:val="002D10D2"/>
    <w:rPr>
      <w:sz w:val="2"/>
      <w:szCs w:val="2"/>
    </w:rPr>
  </w:style>
  <w:style w:type="character" w:customStyle="1" w:styleId="Small">
    <w:name w:val="Small"/>
    <w:basedOn w:val="DefaultParagraphFont"/>
    <w:rsid w:val="002D10D2"/>
    <w:rPr>
      <w:sz w:val="16"/>
    </w:rPr>
  </w:style>
  <w:style w:type="paragraph" w:customStyle="1" w:styleId="WideTable">
    <w:name w:val="Wide Table"/>
    <w:basedOn w:val="Normal"/>
    <w:rsid w:val="002D10D2"/>
    <w:pPr>
      <w:ind w:left="-1418"/>
    </w:pPr>
    <w:rPr>
      <w:sz w:val="2"/>
      <w:szCs w:val="2"/>
    </w:rPr>
  </w:style>
  <w:style w:type="character" w:styleId="PageNumber">
    <w:name w:val="page number"/>
    <w:basedOn w:val="DefaultParagraphFont"/>
    <w:rsid w:val="002D10D2"/>
  </w:style>
  <w:style w:type="paragraph" w:styleId="Quote">
    <w:name w:val="Quote"/>
    <w:basedOn w:val="Heading1"/>
    <w:link w:val="QuoteChar"/>
    <w:qFormat/>
    <w:rsid w:val="002D10D2"/>
    <w:rPr>
      <w:b w:val="0"/>
      <w:sz w:val="72"/>
      <w:szCs w:val="72"/>
      <w:lang w:val="en-NZ"/>
    </w:rPr>
  </w:style>
  <w:style w:type="character" w:customStyle="1" w:styleId="QuoteChar">
    <w:name w:val="Quote Char"/>
    <w:basedOn w:val="DefaultParagraphFont"/>
    <w:link w:val="Quote"/>
    <w:rsid w:val="002D1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0D2"/>
    <w:pPr>
      <w:pageBreakBefore/>
    </w:pPr>
  </w:style>
  <w:style w:type="paragraph" w:customStyle="1" w:styleId="Border">
    <w:name w:val="Border"/>
    <w:basedOn w:val="Normal"/>
    <w:qFormat/>
    <w:rsid w:val="002D1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0D2"/>
    <w:rPr>
      <w:b/>
      <w:bCs/>
      <w:i/>
      <w:iCs/>
      <w:color w:val="auto"/>
    </w:rPr>
  </w:style>
  <w:style w:type="paragraph" w:styleId="IntenseQuote">
    <w:name w:val="Intense Quote"/>
    <w:basedOn w:val="Normal"/>
    <w:next w:val="Normal"/>
    <w:link w:val="IntenseQuoteChar"/>
    <w:uiPriority w:val="30"/>
    <w:qFormat/>
    <w:rsid w:val="002D1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0D2"/>
    <w:rPr>
      <w:smallCaps/>
      <w:color w:val="auto"/>
      <w:u w:val="single"/>
    </w:rPr>
  </w:style>
  <w:style w:type="character" w:styleId="IntenseReference">
    <w:name w:val="Intense Reference"/>
    <w:basedOn w:val="DefaultParagraphFont"/>
    <w:uiPriority w:val="32"/>
    <w:qFormat/>
    <w:rsid w:val="002D10D2"/>
    <w:rPr>
      <w:b/>
      <w:bCs/>
      <w:smallCaps/>
      <w:color w:val="auto"/>
      <w:spacing w:val="5"/>
      <w:u w:val="single"/>
    </w:rPr>
  </w:style>
  <w:style w:type="paragraph" w:customStyle="1" w:styleId="2ColumnHeading">
    <w:name w:val="2Column Heading"/>
    <w:basedOn w:val="BodyText"/>
    <w:qFormat/>
    <w:rsid w:val="002D10D2"/>
    <w:pPr>
      <w:spacing w:after="60"/>
      <w:ind w:left="-2268"/>
    </w:pPr>
    <w:rPr>
      <w:b/>
    </w:rPr>
  </w:style>
  <w:style w:type="paragraph" w:customStyle="1" w:styleId="Heading1TOC">
    <w:name w:val="Heading1 TOC"/>
    <w:basedOn w:val="Normal"/>
    <w:qFormat/>
    <w:rsid w:val="002D10D2"/>
    <w:pPr>
      <w:spacing w:before="240" w:after="120"/>
    </w:pPr>
    <w:rPr>
      <w:rFonts w:ascii="Times New Roman" w:hAnsi="Times New Roman"/>
      <w:b/>
      <w:sz w:val="32"/>
    </w:rPr>
  </w:style>
  <w:style w:type="paragraph" w:customStyle="1" w:styleId="Heading2TOC">
    <w:name w:val="Heading2 TOC"/>
    <w:basedOn w:val="Normal"/>
    <w:qFormat/>
    <w:rsid w:val="002D10D2"/>
    <w:pPr>
      <w:spacing w:before="240" w:after="60"/>
    </w:pPr>
    <w:rPr>
      <w:rFonts w:ascii="Times New Roman" w:hAnsi="Times New Roman"/>
      <w:b/>
      <w:sz w:val="28"/>
    </w:rPr>
  </w:style>
  <w:style w:type="character" w:customStyle="1" w:styleId="Underline">
    <w:name w:val="Underline"/>
    <w:basedOn w:val="DefaultParagraphFont"/>
    <w:qFormat/>
    <w:rsid w:val="002D10D2"/>
    <w:rPr>
      <w:u w:val="single"/>
    </w:rPr>
  </w:style>
  <w:style w:type="character" w:customStyle="1" w:styleId="BoldandItalics">
    <w:name w:val="Bold and Italics"/>
    <w:qFormat/>
    <w:rsid w:val="002D10D2"/>
    <w:rPr>
      <w:b/>
      <w:i/>
      <w:u w:val="none"/>
    </w:rPr>
  </w:style>
  <w:style w:type="paragraph" w:styleId="BalloonText">
    <w:name w:val="Balloon Text"/>
    <w:basedOn w:val="Normal"/>
    <w:link w:val="BalloonTextChar"/>
    <w:rsid w:val="002D10D2"/>
    <w:rPr>
      <w:rFonts w:ascii="Tahoma" w:hAnsi="Tahoma" w:cs="Tahoma"/>
      <w:sz w:val="16"/>
      <w:szCs w:val="16"/>
    </w:rPr>
  </w:style>
  <w:style w:type="character" w:customStyle="1" w:styleId="BalloonTextChar">
    <w:name w:val="Balloon Text Char"/>
    <w:basedOn w:val="DefaultParagraphFont"/>
    <w:link w:val="BalloonText"/>
    <w:rsid w:val="002D1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0D2"/>
    <w:rPr>
      <w:b/>
      <w:color w:val="660033"/>
      <w:spacing w:val="0"/>
    </w:rPr>
  </w:style>
  <w:style w:type="paragraph" w:customStyle="1" w:styleId="Nameditemlist">
    <w:name w:val="Named item list"/>
    <w:basedOn w:val="BodyText"/>
    <w:qFormat/>
    <w:rsid w:val="002D10D2"/>
    <w:pPr>
      <w:tabs>
        <w:tab w:val="left" w:pos="2835"/>
      </w:tabs>
      <w:ind w:left="2835" w:hanging="2835"/>
    </w:pPr>
  </w:style>
  <w:style w:type="paragraph" w:customStyle="1" w:styleId="BodyTextnopadding">
    <w:name w:val="Body Text no padding"/>
    <w:basedOn w:val="BodyText"/>
    <w:qFormat/>
    <w:rsid w:val="002D10D2"/>
    <w:pPr>
      <w:spacing w:before="0" w:after="0"/>
    </w:pPr>
  </w:style>
  <w:style w:type="paragraph" w:customStyle="1" w:styleId="BodyTextBold">
    <w:name w:val="Body Text Bold"/>
    <w:basedOn w:val="BodyText"/>
    <w:qFormat/>
    <w:rsid w:val="002D10D2"/>
    <w:rPr>
      <w:b/>
    </w:rPr>
  </w:style>
  <w:style w:type="character" w:styleId="Hyperlink">
    <w:name w:val="Hyperlink"/>
    <w:basedOn w:val="DefaultParagraphFont"/>
    <w:uiPriority w:val="99"/>
    <w:unhideWhenUsed/>
    <w:rsid w:val="004E4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6730</Characters>
  <Application>Microsoft Office Word</Application>
  <DocSecurity>0</DocSecurity>
  <Lines>240</Lines>
  <Paragraphs>137</Paragraphs>
  <ScaleCrop>false</ScaleCrop>
  <Company>Author-it Software Corporation Ltd.</Company>
  <LinksUpToDate>false</LinksUpToDate>
  <CharactersWithSpaces>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TLIX0032X Undertake configuration management to support integrated logistics</dc:title>
  <dc:subject>Approved</dc:subject>
  <dc:creator>Industry Skills Australia</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