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0BE0" w:rsidP="00330B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TLIX0030X Evaluate LORA in a defence integrated logistics environment</w:t>
      </w:r>
      <w:r>
        <w:fldChar w:fldCharType="end"/>
      </w:r>
    </w:p>
    <w:p w:rsidR="00330BE0" w:rsidP="00330BE0">
      <w:pPr>
        <w:pStyle w:val="Version"/>
        <w:sectPr w:rsidSect="006117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1776" w:rsidP="00611776">
      <w:pPr>
        <w:pStyle w:val="SuperHeading"/>
      </w:pPr>
      <w:r w:rsidRPr="00611776">
        <w:t>TLIX0030X Evaluate LORA in a defence integrated logistics environment</w:t>
      </w:r>
    </w:p>
    <w:p w:rsidR="00000000" w:rsidRPr="00611776" w:rsidP="00611776">
      <w:pPr>
        <w:pStyle w:val="Heading1"/>
      </w:pPr>
      <w:bookmarkStart w:id="1" w:name="O_1167640"/>
      <w:bookmarkEnd w:id="1"/>
      <w:r w:rsidRPr="0061177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17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76" w:rsidP="00611776">
            <w:pPr>
              <w:pStyle w:val="BodyText"/>
            </w:pPr>
            <w:r w:rsidRPr="00611776">
              <w:rPr>
                <w:rStyle w:val="SpecialBold"/>
              </w:rPr>
              <w:t>Release 1</w:t>
            </w:r>
            <w:r w:rsidRPr="00611776">
              <w:t>. This is the first release of this unit of competency in the TLI Transport and Logistics Training Package.</w:t>
            </w:r>
          </w:p>
        </w:tc>
      </w:tr>
    </w:tbl>
    <w:p w:rsidR="00330BE0" w:rsidP="00611776">
      <w:pPr>
        <w:pStyle w:val="NoPaddingFontSize1"/>
      </w:pPr>
    </w:p>
    <w:p w:rsidR="00330BE0" w:rsidP="00611776">
      <w:pPr>
        <w:pStyle w:val="NoPaddingFontSize1"/>
      </w:pPr>
    </w:p>
    <w:p w:rsidR="00000000" w:rsidRPr="00611776" w:rsidP="00611776">
      <w:pPr>
        <w:pStyle w:val="Heading1"/>
      </w:pPr>
      <w:bookmarkStart w:id="2" w:name="O_1167641"/>
      <w:bookmarkEnd w:id="2"/>
      <w:r w:rsidRPr="0061177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17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76" w:rsidP="00611776">
            <w:pPr>
              <w:pStyle w:val="BodyText"/>
            </w:pPr>
            <w:r w:rsidRPr="00611776">
              <w:t>This unit involves the skills and knowledge required to evaluate level of repair analysis (LORA) in a defence integrated logistics environment.</w:t>
            </w:r>
          </w:p>
          <w:p w:rsidR="00000000" w:rsidRPr="00611776" w:rsidP="00611776">
            <w:pPr>
              <w:pStyle w:val="BodyText"/>
            </w:pPr>
            <w:r w:rsidRPr="00611776">
              <w:t>LORA is used as an analytical methodology used to determine where an item will be replaced, repaired</w:t>
            </w:r>
            <w:r w:rsidRPr="00611776">
              <w:t>, or discarded based on cost considerations and operational readiness requirements.</w:t>
            </w:r>
          </w:p>
          <w:p w:rsidR="00000000" w:rsidRPr="00611776" w:rsidP="00611776">
            <w:pPr>
              <w:pStyle w:val="BodyText"/>
            </w:pPr>
            <w:r w:rsidRPr="00611776">
              <w:t>It includes identifying source data, performing life cycle analysis to establish and maintain baselines for logistics support analysis (LSA). It also includes documenting L</w:t>
            </w:r>
            <w:r w:rsidRPr="00611776">
              <w:t>ORA and related analyses.</w:t>
            </w:r>
          </w:p>
          <w:p w:rsidR="00000000" w:rsidRPr="00611776" w:rsidP="00611776">
            <w:pPr>
              <w:pStyle w:val="BodyText"/>
            </w:pPr>
            <w:r w:rsidRPr="00611776">
              <w:t>This unit is appropriate for technical specialists supporting integrated logistics functions. Typically, these individuals must demonstrate the ability to work independently or as part of a team under indirect supervision, use dis</w:t>
            </w:r>
            <w:r w:rsidRPr="00611776">
              <w:t>cretion and judgement, and take responsibility for the quality of their outputs. All activities are carried out in accordance with relevant policy and organisational procedures.</w:t>
            </w:r>
          </w:p>
          <w:p w:rsidR="00000000" w:rsidRPr="00611776" w:rsidP="00611776">
            <w:pPr>
              <w:pStyle w:val="BodyText"/>
            </w:pPr>
            <w:r w:rsidRPr="00611776">
              <w:t xml:space="preserve">No licensing, legislative or certification requirements apply to this unit at </w:t>
            </w:r>
            <w:r w:rsidRPr="00611776">
              <w:t>the time of publication.</w:t>
            </w:r>
          </w:p>
        </w:tc>
      </w:tr>
    </w:tbl>
    <w:p w:rsidR="00330BE0" w:rsidP="00611776">
      <w:pPr>
        <w:pStyle w:val="NoPaddingFontSize1"/>
      </w:pPr>
    </w:p>
    <w:p w:rsidR="00330BE0" w:rsidP="00611776">
      <w:pPr>
        <w:pStyle w:val="NoPaddingFontSize1"/>
      </w:pPr>
    </w:p>
    <w:p w:rsidR="00000000" w:rsidRPr="00611776" w:rsidP="00611776">
      <w:pPr>
        <w:pStyle w:val="Heading1"/>
      </w:pPr>
      <w:bookmarkStart w:id="3" w:name="O_1167642"/>
      <w:bookmarkEnd w:id="3"/>
      <w:r w:rsidRPr="0061177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17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76" w:rsidP="00611776">
            <w:pPr>
              <w:pStyle w:val="BodyText"/>
            </w:pPr>
            <w:r w:rsidRPr="00611776">
              <w:t>Not applicable.</w:t>
            </w:r>
          </w:p>
        </w:tc>
      </w:tr>
    </w:tbl>
    <w:p w:rsidR="00330BE0" w:rsidP="00611776">
      <w:pPr>
        <w:pStyle w:val="NoPaddingFontSize1"/>
      </w:pPr>
    </w:p>
    <w:p w:rsidR="00330BE0" w:rsidP="00611776">
      <w:pPr>
        <w:pStyle w:val="NoPaddingFontSize1"/>
      </w:pPr>
    </w:p>
    <w:p w:rsidR="00000000" w:rsidRPr="00611776" w:rsidP="00611776">
      <w:pPr>
        <w:pStyle w:val="Heading1"/>
      </w:pPr>
      <w:bookmarkStart w:id="4" w:name="O_1167643"/>
      <w:bookmarkEnd w:id="4"/>
      <w:r w:rsidRPr="0061177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17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76" w:rsidP="00611776">
            <w:pPr>
              <w:pStyle w:val="BodyText"/>
            </w:pPr>
            <w:r w:rsidRPr="00611776">
              <w:t>X – Logistics</w:t>
            </w:r>
          </w:p>
        </w:tc>
      </w:tr>
    </w:tbl>
    <w:p w:rsidR="00330BE0" w:rsidP="00611776">
      <w:pPr>
        <w:pStyle w:val="NoPaddingFontSize1"/>
      </w:pPr>
    </w:p>
    <w:p w:rsidR="00330BE0" w:rsidP="00611776">
      <w:pPr>
        <w:pStyle w:val="NoPaddingFontSize1"/>
      </w:pPr>
    </w:p>
    <w:p w:rsidR="00000000" w:rsidRPr="00611776" w:rsidP="00611776">
      <w:pPr>
        <w:pStyle w:val="Heading1"/>
      </w:pPr>
      <w:bookmarkStart w:id="5" w:name="O_1167644"/>
      <w:bookmarkEnd w:id="5"/>
      <w:r w:rsidRPr="0061177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17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76" w:rsidP="00611776">
            <w:pPr>
              <w:pStyle w:val="BodyText"/>
            </w:pPr>
            <w:r w:rsidRPr="00611776">
              <w:t>Integrated logistics</w:t>
            </w:r>
          </w:p>
        </w:tc>
      </w:tr>
    </w:tbl>
    <w:p w:rsidR="00330BE0" w:rsidP="00611776">
      <w:pPr>
        <w:pStyle w:val="NoPaddingFontSize1"/>
      </w:pPr>
    </w:p>
    <w:p w:rsidR="00330BE0" w:rsidP="00611776">
      <w:pPr>
        <w:pStyle w:val="NoPaddingFontSize1"/>
      </w:pPr>
    </w:p>
    <w:p w:rsidR="00000000" w:rsidRPr="00611776" w:rsidP="00611776">
      <w:pPr>
        <w:pStyle w:val="Heading1"/>
      </w:pPr>
      <w:bookmarkStart w:id="6" w:name="O_1167645"/>
      <w:bookmarkEnd w:id="6"/>
      <w:r w:rsidRPr="0061177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6117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76" w:rsidP="00611776">
            <w:pPr>
              <w:pStyle w:val="BodyText"/>
            </w:pPr>
            <w:r w:rsidRPr="00611776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76">
            <w:pPr>
              <w:pStyle w:val="BodyText"/>
              <w:rPr>
                <w:lang w:val="en-NZ"/>
              </w:rPr>
            </w:pPr>
            <w:r w:rsidRPr="00611776">
              <w:rPr>
                <w:rStyle w:val="SpecialBold"/>
              </w:rPr>
              <w:t>PERFORMANCE CRITERIA</w:t>
            </w:r>
          </w:p>
        </w:tc>
      </w:tr>
      <w:tr w:rsidTr="006117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76">
            <w:pPr>
              <w:pStyle w:val="BodyText"/>
              <w:rPr>
                <w:lang w:val="en-NZ"/>
              </w:rPr>
            </w:pPr>
            <w:r w:rsidRPr="00611776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76">
            <w:pPr>
              <w:pStyle w:val="BodyText"/>
              <w:rPr>
                <w:lang w:val="en-NZ"/>
              </w:rPr>
            </w:pPr>
            <w:r w:rsidRPr="00611776">
              <w:t>Performance criteria describe the performance needed to demonstrate achievement of the element.</w:t>
            </w:r>
          </w:p>
        </w:tc>
      </w:tr>
      <w:tr w:rsidTr="006117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76" w:rsidP="00611776">
            <w:pPr>
              <w:pStyle w:val="BodyText"/>
            </w:pPr>
            <w:r w:rsidRPr="00611776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76" w:rsidP="00611776">
            <w:pPr>
              <w:pStyle w:val="BodyText"/>
            </w:pPr>
            <w:r w:rsidRPr="00611776">
              <w:rPr>
                <w:rStyle w:val="SpecialBold"/>
              </w:rPr>
              <w:t xml:space="preserve">Identify source data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76">
            <w:pPr>
              <w:pStyle w:val="BodyText"/>
              <w:rPr>
                <w:lang w:val="en-NZ"/>
              </w:rPr>
            </w:pPr>
            <w:r w:rsidRPr="00611776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76">
            <w:pPr>
              <w:pStyle w:val="BodyText"/>
              <w:rPr>
                <w:lang w:val="en-NZ"/>
              </w:rPr>
            </w:pPr>
            <w:r w:rsidRPr="00611776">
              <w:t>Integrated logistic support (ILS) strategy for the program is reviewed to ensure relevance and alignment of LORA</w:t>
            </w:r>
          </w:p>
        </w:tc>
      </w:tr>
      <w:tr w:rsidTr="006117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7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76">
            <w:pPr>
              <w:pStyle w:val="BodyText"/>
              <w:rPr>
                <w:lang w:val="en-NZ"/>
              </w:rPr>
            </w:pPr>
            <w:r w:rsidRPr="00611776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76">
            <w:pPr>
              <w:pStyle w:val="BodyText"/>
              <w:rPr>
                <w:lang w:val="en-NZ"/>
              </w:rPr>
            </w:pPr>
            <w:r w:rsidRPr="00611776">
              <w:t>Organisational procurement and supply chain and other relevant policies for each identified item are interpreted</w:t>
            </w:r>
          </w:p>
        </w:tc>
      </w:tr>
      <w:tr w:rsidTr="006117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7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76">
            <w:pPr>
              <w:pStyle w:val="BodyText"/>
              <w:rPr>
                <w:lang w:val="en-NZ"/>
              </w:rPr>
            </w:pPr>
            <w:r w:rsidRPr="00611776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76">
            <w:pPr>
              <w:pStyle w:val="BodyText"/>
              <w:rPr>
                <w:lang w:val="en-NZ"/>
              </w:rPr>
            </w:pPr>
            <w:r w:rsidRPr="00611776">
              <w:t>Contractual and regulatory requirements are determined and reviewed</w:t>
            </w:r>
          </w:p>
        </w:tc>
      </w:tr>
      <w:tr w:rsidTr="006117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7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76">
            <w:pPr>
              <w:pStyle w:val="BodyText"/>
              <w:rPr>
                <w:lang w:val="en-NZ"/>
              </w:rPr>
            </w:pPr>
            <w:r w:rsidRPr="00611776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76">
            <w:pPr>
              <w:pStyle w:val="BodyText"/>
              <w:rPr>
                <w:lang w:val="en-NZ"/>
              </w:rPr>
            </w:pPr>
            <w:r w:rsidRPr="00611776">
              <w:t>LSA data is reviewed in line with trends in system supportability and affordability</w:t>
            </w:r>
          </w:p>
        </w:tc>
      </w:tr>
      <w:tr w:rsidTr="006117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76" w:rsidP="00611776">
            <w:pPr>
              <w:pStyle w:val="BodyText"/>
            </w:pPr>
            <w:r w:rsidRPr="0061177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76" w:rsidP="00611776">
            <w:pPr>
              <w:pStyle w:val="BodyText"/>
            </w:pPr>
            <w:r w:rsidRPr="00611776">
              <w:rPr>
                <w:rStyle w:val="SpecialBold"/>
              </w:rPr>
              <w:t>Establish and maintain baselines for LSA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76">
            <w:pPr>
              <w:pStyle w:val="BodyText"/>
              <w:rPr>
                <w:lang w:val="en-NZ"/>
              </w:rPr>
            </w:pPr>
            <w:r w:rsidRPr="00611776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76">
            <w:pPr>
              <w:pStyle w:val="BodyText"/>
              <w:rPr>
                <w:lang w:val="en-NZ"/>
              </w:rPr>
            </w:pPr>
            <w:r w:rsidRPr="00611776">
              <w:t>LSA data is gathered in accordance with organisat</w:t>
            </w:r>
            <w:r w:rsidRPr="00611776">
              <w:t>ional procedures</w:t>
            </w:r>
          </w:p>
        </w:tc>
      </w:tr>
      <w:tr w:rsidTr="006117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7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76">
            <w:pPr>
              <w:pStyle w:val="BodyText"/>
              <w:rPr>
                <w:lang w:val="en-NZ"/>
              </w:rPr>
            </w:pPr>
            <w:r w:rsidRPr="00611776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76">
            <w:pPr>
              <w:pStyle w:val="BodyText"/>
              <w:rPr>
                <w:lang w:val="en-NZ"/>
              </w:rPr>
            </w:pPr>
            <w:r w:rsidRPr="00611776">
              <w:t>LSA data is interpreted, and consistent level of repair criteria are defined</w:t>
            </w:r>
          </w:p>
        </w:tc>
      </w:tr>
      <w:tr w:rsidTr="006117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7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76">
            <w:pPr>
              <w:pStyle w:val="BodyText"/>
              <w:rPr>
                <w:lang w:val="en-NZ"/>
              </w:rPr>
            </w:pPr>
            <w:r w:rsidRPr="00611776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76">
            <w:pPr>
              <w:pStyle w:val="BodyText"/>
              <w:rPr>
                <w:lang w:val="en-NZ"/>
              </w:rPr>
            </w:pPr>
            <w:r w:rsidRPr="00611776">
              <w:t>LSA baseline data and actions to deal with deviations or failure from established baselines are reviewed</w:t>
            </w:r>
          </w:p>
        </w:tc>
      </w:tr>
      <w:tr w:rsidTr="006117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7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76">
            <w:pPr>
              <w:pStyle w:val="BodyText"/>
              <w:rPr>
                <w:lang w:val="en-NZ"/>
              </w:rPr>
            </w:pPr>
            <w:r w:rsidRPr="00611776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76">
            <w:pPr>
              <w:pStyle w:val="BodyText"/>
              <w:rPr>
                <w:lang w:val="en-NZ"/>
              </w:rPr>
            </w:pPr>
            <w:r w:rsidRPr="00611776">
              <w:t>LORA is interpreted to inform maintenance and supply support requirements</w:t>
            </w:r>
          </w:p>
        </w:tc>
      </w:tr>
      <w:tr w:rsidTr="006117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7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76">
            <w:pPr>
              <w:pStyle w:val="BodyText"/>
              <w:rPr>
                <w:lang w:val="en-NZ"/>
              </w:rPr>
            </w:pPr>
            <w:r w:rsidRPr="00611776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76">
            <w:pPr>
              <w:pStyle w:val="BodyText"/>
              <w:rPr>
                <w:lang w:val="en-NZ"/>
              </w:rPr>
            </w:pPr>
            <w:r w:rsidRPr="00611776">
              <w:t>LORA data is interpreted to confirm coverage of the operating support intent</w:t>
            </w:r>
          </w:p>
        </w:tc>
      </w:tr>
      <w:tr w:rsidTr="006117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7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76">
            <w:pPr>
              <w:pStyle w:val="BodyText"/>
              <w:rPr>
                <w:lang w:val="en-NZ"/>
              </w:rPr>
            </w:pPr>
            <w:r w:rsidRPr="00611776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76">
            <w:pPr>
              <w:pStyle w:val="BodyText"/>
              <w:rPr>
                <w:lang w:val="en-NZ"/>
              </w:rPr>
            </w:pPr>
            <w:r w:rsidRPr="00611776">
              <w:t>Maintenance plan and associated requirements are revised by baseline data changes</w:t>
            </w:r>
          </w:p>
        </w:tc>
      </w:tr>
      <w:tr w:rsidTr="006117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7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76">
            <w:pPr>
              <w:pStyle w:val="BodyText"/>
              <w:rPr>
                <w:lang w:val="en-NZ"/>
              </w:rPr>
            </w:pPr>
            <w:r w:rsidRPr="00611776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76">
            <w:pPr>
              <w:pStyle w:val="BodyText"/>
              <w:rPr>
                <w:lang w:val="en-NZ"/>
              </w:rPr>
            </w:pPr>
            <w:r w:rsidRPr="00611776">
              <w:t>Verification and validation of data is completed to confirm performance outcomes</w:t>
            </w:r>
          </w:p>
        </w:tc>
      </w:tr>
      <w:tr w:rsidTr="006117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76" w:rsidP="00611776">
            <w:pPr>
              <w:pStyle w:val="BodyText"/>
            </w:pPr>
            <w:r w:rsidRPr="0061177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76" w:rsidP="00611776">
            <w:pPr>
              <w:pStyle w:val="BodyText"/>
            </w:pPr>
            <w:r w:rsidRPr="00611776">
              <w:rPr>
                <w:rStyle w:val="SpecialBold"/>
              </w:rPr>
              <w:t>Document LORA and related analyses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76">
            <w:pPr>
              <w:pStyle w:val="BodyText"/>
              <w:rPr>
                <w:lang w:val="en-NZ"/>
              </w:rPr>
            </w:pPr>
            <w:r w:rsidRPr="00611776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76">
            <w:pPr>
              <w:pStyle w:val="BodyText"/>
              <w:rPr>
                <w:lang w:val="en-NZ"/>
              </w:rPr>
            </w:pPr>
            <w:r w:rsidRPr="00611776">
              <w:t>LSA parameters are analysed using current data</w:t>
            </w:r>
          </w:p>
        </w:tc>
      </w:tr>
      <w:tr w:rsidTr="006117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7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76">
            <w:pPr>
              <w:pStyle w:val="BodyText"/>
              <w:rPr>
                <w:lang w:val="en-NZ"/>
              </w:rPr>
            </w:pPr>
            <w:r w:rsidRPr="00611776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76">
            <w:pPr>
              <w:pStyle w:val="BodyText"/>
              <w:rPr>
                <w:lang w:val="en-NZ"/>
              </w:rPr>
            </w:pPr>
            <w:r w:rsidRPr="00611776">
              <w:t>Logistics support management information systems are updated in accordance with contractual, regulatory requirements and organisational procedures</w:t>
            </w:r>
          </w:p>
        </w:tc>
      </w:tr>
      <w:tr w:rsidTr="006117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7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76">
            <w:pPr>
              <w:pStyle w:val="BodyText"/>
              <w:rPr>
                <w:lang w:val="en-NZ"/>
              </w:rPr>
            </w:pPr>
            <w:r w:rsidRPr="00611776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76">
            <w:pPr>
              <w:pStyle w:val="BodyText"/>
              <w:rPr>
                <w:lang w:val="en-NZ"/>
              </w:rPr>
            </w:pPr>
            <w:r w:rsidRPr="00611776">
              <w:t>Level of analyses, the data sources and techniques used in performing the analysis, including the syst</w:t>
            </w:r>
            <w:r w:rsidRPr="00611776">
              <w:t>em definition narrative, resultant analysis data, and worksheets are summarised, and the results documented</w:t>
            </w:r>
          </w:p>
        </w:tc>
      </w:tr>
      <w:tr w:rsidTr="006117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7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76">
            <w:pPr>
              <w:pStyle w:val="BodyText"/>
              <w:rPr>
                <w:lang w:val="en-NZ"/>
              </w:rPr>
            </w:pPr>
            <w:r w:rsidRPr="00611776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76" w:rsidP="00611776">
            <w:pPr>
              <w:pStyle w:val="BodyText"/>
            </w:pPr>
            <w:r w:rsidRPr="00611776">
              <w:t xml:space="preserve">Conclusions and recommendations based upon the analysis and recommended actions are documented in </w:t>
            </w:r>
            <w:r w:rsidRPr="00611776">
              <w:t>accordance with organisational procedures</w:t>
            </w:r>
          </w:p>
        </w:tc>
      </w:tr>
    </w:tbl>
    <w:p w:rsidR="00330BE0" w:rsidP="00611776">
      <w:pPr>
        <w:pStyle w:val="NoPaddingFontSize1"/>
      </w:pPr>
    </w:p>
    <w:p w:rsidR="00330BE0" w:rsidP="00611776">
      <w:pPr>
        <w:pStyle w:val="NoPaddingFontSize1"/>
      </w:pPr>
    </w:p>
    <w:p w:rsidR="00000000" w:rsidRPr="00611776" w:rsidP="00611776">
      <w:pPr>
        <w:pStyle w:val="Heading1"/>
      </w:pPr>
      <w:bookmarkStart w:id="7" w:name="O_1167646"/>
      <w:bookmarkEnd w:id="7"/>
      <w:r w:rsidRPr="0061177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17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76" w:rsidP="00611776">
            <w:pPr>
              <w:pStyle w:val="BodyText"/>
            </w:pPr>
            <w:r w:rsidRPr="00611776">
              <w:t>Foundation skills essential to performance are explicit in the performance criteria of this unit of competency.</w:t>
            </w:r>
          </w:p>
        </w:tc>
      </w:tr>
    </w:tbl>
    <w:p w:rsidR="00330BE0" w:rsidP="00611776">
      <w:pPr>
        <w:pStyle w:val="NoPaddingFontSize1"/>
      </w:pPr>
    </w:p>
    <w:p w:rsidR="00330BE0" w:rsidP="00611776">
      <w:pPr>
        <w:pStyle w:val="NoPaddingFontSize1"/>
      </w:pPr>
    </w:p>
    <w:p w:rsidR="00000000" w:rsidRPr="00611776" w:rsidP="00611776">
      <w:pPr>
        <w:pStyle w:val="Heading1"/>
      </w:pPr>
      <w:bookmarkStart w:id="8" w:name="O_1167647"/>
      <w:bookmarkEnd w:id="8"/>
      <w:r w:rsidRPr="0061177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17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76" w:rsidP="00611776">
            <w:pPr>
              <w:pStyle w:val="BodyText"/>
            </w:pPr>
            <w:r w:rsidRPr="00611776">
              <w:t>Range is restricted to essential operating conditions and any other variables essential to the work environment.</w:t>
            </w:r>
          </w:p>
        </w:tc>
      </w:tr>
    </w:tbl>
    <w:p w:rsidR="00330BE0" w:rsidP="00611776">
      <w:pPr>
        <w:pStyle w:val="NoPaddingFontSize1"/>
      </w:pPr>
    </w:p>
    <w:p w:rsidR="00330BE0" w:rsidP="00611776">
      <w:pPr>
        <w:pStyle w:val="NoPaddingFontSize1"/>
      </w:pPr>
    </w:p>
    <w:p w:rsidR="00000000" w:rsidRPr="00611776" w:rsidP="00611776">
      <w:pPr>
        <w:pStyle w:val="Heading1"/>
      </w:pPr>
      <w:bookmarkStart w:id="9" w:name="O_1167648"/>
      <w:bookmarkEnd w:id="9"/>
      <w:r w:rsidRPr="0061177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17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76" w:rsidP="00611776">
            <w:pPr>
              <w:pStyle w:val="BodyText"/>
            </w:pPr>
            <w:r w:rsidRPr="00611776">
              <w:t>This is a new unit. No equivalent unit.</w:t>
            </w:r>
          </w:p>
        </w:tc>
      </w:tr>
    </w:tbl>
    <w:p w:rsidR="00330BE0" w:rsidP="00611776">
      <w:pPr>
        <w:pStyle w:val="NoPaddingFontSize1"/>
      </w:pPr>
    </w:p>
    <w:p w:rsidR="00330BE0" w:rsidP="00611776">
      <w:pPr>
        <w:pStyle w:val="NoPaddingFontSize1"/>
      </w:pPr>
    </w:p>
    <w:p w:rsidR="00000000" w:rsidRPr="00611776" w:rsidP="00611776">
      <w:pPr>
        <w:pStyle w:val="Heading1"/>
      </w:pPr>
      <w:bookmarkStart w:id="10" w:name="O_1167655"/>
      <w:bookmarkEnd w:id="10"/>
      <w:r w:rsidRPr="00611776">
        <w:t>Links</w:t>
      </w:r>
    </w:p>
    <w:p w:rsidR="00000000" w:rsidRPr="00611776" w:rsidP="00330BE0">
      <w:pPr>
        <w:pStyle w:val="BodyText"/>
      </w:pPr>
      <w:r w:rsidRPr="00611776">
        <w:t>Companion Volume Implementat</w:t>
      </w:r>
      <w:r w:rsidRPr="00611776">
        <w:t xml:space="preserve">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0032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11776" w:rsidP="00611776"/>
    <w:sectPr w:rsidSect="006117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7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776" w:rsidRPr="00330BE0" w:rsidP="00330B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7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BE0" w:rsidP="006117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0BE0" w:rsidP="006117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30BE0" w:rsidP="006117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7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B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1776" w:rsidRPr="00330BE0" w:rsidP="00330B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7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BE0" w:rsidRPr="002D2AF8" w:rsidP="006117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TLIX0030X Evaluate LORA in a defence integrated logistics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30BE0" w:rsidP="006117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7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17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17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17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17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17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17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17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17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17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17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1776"/>
  </w:style>
  <w:style w:type="character" w:customStyle="1" w:styleId="Heading1Char">
    <w:name w:val="Heading 1 Char"/>
    <w:basedOn w:val="DefaultParagraphFont"/>
    <w:link w:val="Heading1"/>
    <w:rsid w:val="006117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17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177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11776"/>
    <w:rPr>
      <w:b/>
      <w:spacing w:val="0"/>
    </w:rPr>
  </w:style>
  <w:style w:type="paragraph" w:customStyle="1" w:styleId="SuperHeading">
    <w:name w:val="SuperHeading"/>
    <w:basedOn w:val="Normal"/>
    <w:rsid w:val="006117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17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117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17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17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17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17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17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17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17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17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17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17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17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17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17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17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17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17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17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17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177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117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17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17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17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177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17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17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17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17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17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17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17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17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17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1776"/>
    <w:rPr>
      <w:i/>
    </w:rPr>
  </w:style>
  <w:style w:type="paragraph" w:styleId="Caption">
    <w:name w:val="caption"/>
    <w:basedOn w:val="BodyText"/>
    <w:next w:val="Normal"/>
    <w:qFormat/>
    <w:rsid w:val="006117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17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17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1776"/>
  </w:style>
  <w:style w:type="paragraph" w:styleId="TableofFigures">
    <w:name w:val="table of figures"/>
    <w:basedOn w:val="Normal"/>
    <w:next w:val="Normal"/>
    <w:semiHidden/>
    <w:rsid w:val="006117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177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11776"/>
    <w:rPr>
      <w:rFonts w:ascii="Wingdings" w:hAnsi="Wingdings"/>
    </w:rPr>
  </w:style>
  <w:style w:type="paragraph" w:customStyle="1" w:styleId="TableHeading">
    <w:name w:val="Table Heading"/>
    <w:basedOn w:val="HeadingBase"/>
    <w:rsid w:val="006117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1776"/>
    <w:rPr>
      <w:color w:val="0033CC"/>
      <w:u w:val="none"/>
    </w:rPr>
  </w:style>
  <w:style w:type="paragraph" w:customStyle="1" w:styleId="BodyTextRight">
    <w:name w:val="Body Text Right"/>
    <w:basedOn w:val="BodyText"/>
    <w:rsid w:val="006117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17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177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17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17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17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1776"/>
    <w:rPr>
      <w:sz w:val="32"/>
    </w:rPr>
  </w:style>
  <w:style w:type="paragraph" w:customStyle="1" w:styleId="HeadingProcedure">
    <w:name w:val="Heading Procedure"/>
    <w:basedOn w:val="HeadingBase"/>
    <w:next w:val="Normal"/>
    <w:rsid w:val="006117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1776"/>
    <w:pPr>
      <w:spacing w:before="60" w:after="60"/>
    </w:pPr>
  </w:style>
  <w:style w:type="paragraph" w:styleId="ListContinue">
    <w:name w:val="List Continue"/>
    <w:basedOn w:val="List"/>
    <w:rsid w:val="00611776"/>
    <w:pPr>
      <w:ind w:firstLine="0"/>
    </w:pPr>
  </w:style>
  <w:style w:type="paragraph" w:customStyle="1" w:styleId="ListNote">
    <w:name w:val="List Note"/>
    <w:basedOn w:val="List"/>
    <w:rsid w:val="006117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17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17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1776"/>
    <w:rPr>
      <w:rFonts w:ascii="Courier New" w:hAnsi="Courier New"/>
    </w:rPr>
  </w:style>
  <w:style w:type="paragraph" w:customStyle="1" w:styleId="NoteBullet">
    <w:name w:val="Note Bullet"/>
    <w:basedOn w:val="Note"/>
    <w:rsid w:val="006117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17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17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17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177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117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17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1776"/>
    <w:rPr>
      <w:b/>
      <w:smallCaps/>
    </w:rPr>
  </w:style>
  <w:style w:type="paragraph" w:customStyle="1" w:styleId="TableListNumber">
    <w:name w:val="Table List Number"/>
    <w:basedOn w:val="ListNumber"/>
    <w:rsid w:val="006117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17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1776"/>
    <w:pPr>
      <w:numPr>
        <w:numId w:val="7"/>
      </w:numPr>
    </w:pPr>
  </w:style>
  <w:style w:type="paragraph" w:customStyle="1" w:styleId="ListAlpha2">
    <w:name w:val="List Alpha 2"/>
    <w:basedOn w:val="List2"/>
    <w:rsid w:val="00611776"/>
    <w:pPr>
      <w:numPr>
        <w:numId w:val="6"/>
      </w:numPr>
    </w:pPr>
  </w:style>
  <w:style w:type="paragraph" w:styleId="List2">
    <w:name w:val="List 2"/>
    <w:basedOn w:val="BodyText"/>
    <w:rsid w:val="006117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17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17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17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177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177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11776"/>
    <w:pPr>
      <w:numPr>
        <w:numId w:val="2"/>
      </w:numPr>
    </w:pPr>
  </w:style>
  <w:style w:type="paragraph" w:styleId="ListContinue2">
    <w:name w:val="List Continue 2"/>
    <w:basedOn w:val="List2"/>
    <w:rsid w:val="00611776"/>
    <w:pPr>
      <w:ind w:firstLine="0"/>
    </w:pPr>
  </w:style>
  <w:style w:type="paragraph" w:styleId="ListContinue3">
    <w:name w:val="List Continue 3"/>
    <w:basedOn w:val="List3"/>
    <w:rsid w:val="00611776"/>
    <w:pPr>
      <w:ind w:left="1021" w:firstLine="0"/>
    </w:pPr>
  </w:style>
  <w:style w:type="paragraph" w:styleId="ListContinue4">
    <w:name w:val="List Continue 4"/>
    <w:basedOn w:val="List4"/>
    <w:rsid w:val="00611776"/>
    <w:pPr>
      <w:ind w:firstLine="0"/>
    </w:pPr>
  </w:style>
  <w:style w:type="paragraph" w:styleId="ListContinue5">
    <w:name w:val="List Continue 5"/>
    <w:basedOn w:val="List5"/>
    <w:rsid w:val="00611776"/>
    <w:pPr>
      <w:ind w:firstLine="0"/>
    </w:pPr>
  </w:style>
  <w:style w:type="paragraph" w:styleId="ListNumber3">
    <w:name w:val="List Number 3"/>
    <w:basedOn w:val="List3"/>
    <w:rsid w:val="00611776"/>
    <w:pPr>
      <w:numPr>
        <w:numId w:val="3"/>
      </w:numPr>
    </w:pPr>
  </w:style>
  <w:style w:type="paragraph" w:styleId="ListNumber4">
    <w:name w:val="List Number 4"/>
    <w:basedOn w:val="List4"/>
    <w:rsid w:val="00611776"/>
    <w:pPr>
      <w:numPr>
        <w:numId w:val="4"/>
      </w:numPr>
    </w:pPr>
  </w:style>
  <w:style w:type="paragraph" w:styleId="ListNumber5">
    <w:name w:val="List Number 5"/>
    <w:basedOn w:val="List5"/>
    <w:rsid w:val="00611776"/>
    <w:pPr>
      <w:numPr>
        <w:numId w:val="5"/>
      </w:numPr>
    </w:pPr>
  </w:style>
  <w:style w:type="paragraph" w:styleId="BlockText">
    <w:name w:val="Block Text"/>
    <w:basedOn w:val="Normal"/>
    <w:rsid w:val="006117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17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1776"/>
    <w:rPr>
      <w:sz w:val="16"/>
      <w:vertAlign w:val="superscript"/>
    </w:rPr>
  </w:style>
  <w:style w:type="character" w:customStyle="1" w:styleId="Symbols">
    <w:name w:val="Symbols"/>
    <w:basedOn w:val="DefaultParagraphFont"/>
    <w:rsid w:val="00611776"/>
    <w:rPr>
      <w:rFonts w:ascii="Symbol" w:hAnsi="Symbol"/>
    </w:rPr>
  </w:style>
  <w:style w:type="character" w:customStyle="1" w:styleId="MenuOptions">
    <w:name w:val="Menu Options"/>
    <w:basedOn w:val="DefaultParagraphFont"/>
    <w:rsid w:val="006117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1776"/>
    <w:rPr>
      <w:b/>
    </w:rPr>
  </w:style>
  <w:style w:type="character" w:customStyle="1" w:styleId="Underlined">
    <w:name w:val="Underlined"/>
    <w:basedOn w:val="DefaultParagraphFont"/>
    <w:rsid w:val="00611776"/>
    <w:rPr>
      <w:u w:val="single"/>
    </w:rPr>
  </w:style>
  <w:style w:type="paragraph" w:customStyle="1" w:styleId="TableBodyTextRight">
    <w:name w:val="Table Body Text Right"/>
    <w:basedOn w:val="TableBodyText"/>
    <w:rsid w:val="006117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1776"/>
    <w:rPr>
      <w:sz w:val="18"/>
    </w:rPr>
  </w:style>
  <w:style w:type="paragraph" w:customStyle="1" w:styleId="BodySmallRight">
    <w:name w:val="Body Small Right"/>
    <w:basedOn w:val="BodyTextRight"/>
    <w:rsid w:val="00611776"/>
    <w:rPr>
      <w:sz w:val="18"/>
      <w:szCs w:val="18"/>
    </w:rPr>
  </w:style>
  <w:style w:type="paragraph" w:customStyle="1" w:styleId="MarginEdition">
    <w:name w:val="Margin Edition"/>
    <w:basedOn w:val="MarginNote"/>
    <w:rsid w:val="006117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1776"/>
    <w:rPr>
      <w:sz w:val="2"/>
      <w:szCs w:val="2"/>
    </w:rPr>
  </w:style>
  <w:style w:type="character" w:customStyle="1" w:styleId="Small">
    <w:name w:val="Small"/>
    <w:basedOn w:val="DefaultParagraphFont"/>
    <w:rsid w:val="00611776"/>
    <w:rPr>
      <w:sz w:val="16"/>
    </w:rPr>
  </w:style>
  <w:style w:type="paragraph" w:customStyle="1" w:styleId="WideTable">
    <w:name w:val="Wide Table"/>
    <w:basedOn w:val="Normal"/>
    <w:rsid w:val="006117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1776"/>
  </w:style>
  <w:style w:type="paragraph" w:styleId="Quote">
    <w:name w:val="Quote"/>
    <w:basedOn w:val="Heading1"/>
    <w:link w:val="QuoteChar"/>
    <w:qFormat/>
    <w:rsid w:val="006117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17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1776"/>
    <w:pPr>
      <w:pageBreakBefore/>
    </w:pPr>
  </w:style>
  <w:style w:type="paragraph" w:customStyle="1" w:styleId="Border">
    <w:name w:val="Border"/>
    <w:basedOn w:val="Normal"/>
    <w:qFormat/>
    <w:rsid w:val="006117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17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7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7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17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17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17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17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17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1776"/>
    <w:rPr>
      <w:u w:val="single"/>
    </w:rPr>
  </w:style>
  <w:style w:type="character" w:customStyle="1" w:styleId="BoldandItalics">
    <w:name w:val="Bold and Italics"/>
    <w:qFormat/>
    <w:rsid w:val="00611776"/>
    <w:rPr>
      <w:b/>
      <w:i/>
      <w:u w:val="none"/>
    </w:rPr>
  </w:style>
  <w:style w:type="paragraph" w:styleId="BalloonText">
    <w:name w:val="Balloon Text"/>
    <w:basedOn w:val="Normal"/>
    <w:link w:val="BalloonTextChar"/>
    <w:rsid w:val="006117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17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17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17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17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17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1776"/>
    <w:pPr>
      <w:spacing w:before="0" w:after="0"/>
    </w:pPr>
  </w:style>
  <w:style w:type="paragraph" w:customStyle="1" w:styleId="BodyTextBold">
    <w:name w:val="Body Text Bold"/>
    <w:basedOn w:val="BodyText"/>
    <w:qFormat/>
    <w:rsid w:val="00611776"/>
    <w:rPr>
      <w:b/>
    </w:rPr>
  </w:style>
  <w:style w:type="character" w:styleId="Hyperlink">
    <w:name w:val="Hyperlink"/>
    <w:basedOn w:val="DefaultParagraphFont"/>
    <w:uiPriority w:val="99"/>
    <w:unhideWhenUsed/>
    <w:rsid w:val="00330B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552</Words>
  <Characters>3453</Characters>
  <Application>Microsoft Office Word</Application>
  <DocSecurity>0</DocSecurity>
  <Lines>156</Lines>
  <Paragraphs>80</Paragraphs>
  <ScaleCrop>false</ScaleCrop>
  <Company>Author-it Software Corporation Ltd.</Company>
  <LinksUpToDate>false</LinksUpToDate>
  <CharactersWithSpaces>3925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TLIX0030X Evaluate LORA in a defence integrated logistics environment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2024-07-12T07:43:00Z</dcterms:created>
  <dcterms:modified xsi:type="dcterms:W3CDTF">2024-07-12T07:43:00Z</dcterms:modified>
</cp:coreProperties>
</file>