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557" w:rsidP="002475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TLIX0030X Evaluate LORA in a defence integrated logistics environment</w:t>
      </w:r>
      <w:r>
        <w:fldChar w:fldCharType="end"/>
      </w:r>
    </w:p>
    <w:p w:rsidR="00247557" w:rsidP="00247557">
      <w:pPr>
        <w:pStyle w:val="Version"/>
        <w:sectPr w:rsidSect="002042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2C4" w:rsidP="002042C4">
      <w:pPr>
        <w:pStyle w:val="SuperHeading"/>
      </w:pPr>
      <w:r w:rsidRPr="002042C4">
        <w:t>TLIX0030X Evaluate LORA in a defence integrated logistics environment</w:t>
      </w:r>
    </w:p>
    <w:p w:rsidR="00000000" w:rsidRPr="002042C4" w:rsidP="002042C4">
      <w:pPr>
        <w:pStyle w:val="Heading1"/>
      </w:pPr>
      <w:bookmarkStart w:id="1" w:name="O_1167640"/>
      <w:bookmarkEnd w:id="1"/>
      <w:r w:rsidRPr="002042C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 w:rsidP="002042C4">
            <w:pPr>
              <w:pStyle w:val="BodyText"/>
            </w:pPr>
            <w:r w:rsidRPr="002042C4">
              <w:rPr>
                <w:rStyle w:val="SpecialBold"/>
              </w:rPr>
              <w:t>Release 1</w:t>
            </w:r>
            <w:r w:rsidRPr="002042C4">
              <w:t>. This is the first release of this unit of competency in the TLI Transport and Logistics Training Package.</w:t>
            </w:r>
          </w:p>
        </w:tc>
      </w:tr>
    </w:tbl>
    <w:p w:rsidR="00247557" w:rsidP="002042C4">
      <w:pPr>
        <w:pStyle w:val="NoPaddingFontSize1"/>
      </w:pPr>
    </w:p>
    <w:p w:rsidR="00247557" w:rsidP="002042C4">
      <w:pPr>
        <w:pStyle w:val="NoPaddingFontSize1"/>
      </w:pPr>
    </w:p>
    <w:p w:rsidR="00000000" w:rsidRPr="002042C4" w:rsidP="002042C4">
      <w:pPr>
        <w:pStyle w:val="Heading1"/>
      </w:pPr>
      <w:bookmarkStart w:id="2" w:name="O_1167641"/>
      <w:bookmarkEnd w:id="2"/>
      <w:r w:rsidRPr="002042C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 w:rsidP="002042C4">
            <w:pPr>
              <w:pStyle w:val="BodyText"/>
            </w:pPr>
            <w:r w:rsidRPr="002042C4">
              <w:t>This unit involves the skills and knowledge required to evaluate level of repair analysis (LORA) in a defence integrated logistics environment.</w:t>
            </w:r>
          </w:p>
          <w:p w:rsidR="00000000" w:rsidRPr="002042C4" w:rsidP="002042C4">
            <w:pPr>
              <w:pStyle w:val="BodyText"/>
            </w:pPr>
            <w:r w:rsidRPr="002042C4">
              <w:t>LORA is used as an analytical methodology used to determine where an item will be replaced, repaired</w:t>
            </w:r>
            <w:r w:rsidRPr="002042C4">
              <w:t>, or discarded based on cost considerations and operational readiness requirements.</w:t>
            </w:r>
          </w:p>
          <w:p w:rsidR="00000000" w:rsidRPr="002042C4" w:rsidP="002042C4">
            <w:pPr>
              <w:pStyle w:val="BodyText"/>
            </w:pPr>
            <w:r w:rsidRPr="002042C4">
              <w:t>It includes identifying source data, performing life cycle analysis to establish and maintain baselines for logistics support analysis (LSA). It also includes documenting L</w:t>
            </w:r>
            <w:r w:rsidRPr="002042C4">
              <w:t>ORA and related analyses.</w:t>
            </w:r>
          </w:p>
          <w:p w:rsidR="00000000" w:rsidRPr="002042C4" w:rsidP="002042C4">
            <w:pPr>
              <w:pStyle w:val="BodyText"/>
            </w:pPr>
            <w:r w:rsidRPr="002042C4">
              <w:t>This unit is appropriate for technical specialists supporting integrated logistics functions. Typically, these individuals must demonstrate the ability to work independently or as part of a team under indirect supervision, use dis</w:t>
            </w:r>
            <w:r w:rsidRPr="002042C4">
              <w:t>cretion and judgement, and take responsibility for the quality of their outputs. All activities are carried out in accordance with relevant policy and organisational procedures.</w:t>
            </w:r>
          </w:p>
          <w:p w:rsidR="00000000" w:rsidRPr="002042C4" w:rsidP="002042C4">
            <w:pPr>
              <w:pStyle w:val="BodyText"/>
            </w:pPr>
            <w:r w:rsidRPr="002042C4">
              <w:t xml:space="preserve">No licensing, legislative or certification requirements apply to this unit at </w:t>
            </w:r>
            <w:r w:rsidRPr="002042C4">
              <w:t>the time of publication.</w:t>
            </w:r>
          </w:p>
        </w:tc>
      </w:tr>
    </w:tbl>
    <w:p w:rsidR="00247557" w:rsidP="002042C4">
      <w:pPr>
        <w:pStyle w:val="NoPaddingFontSize1"/>
      </w:pPr>
    </w:p>
    <w:p w:rsidR="00247557" w:rsidP="002042C4">
      <w:pPr>
        <w:pStyle w:val="NoPaddingFontSize1"/>
      </w:pPr>
    </w:p>
    <w:p w:rsidR="00000000" w:rsidRPr="002042C4" w:rsidP="002042C4">
      <w:pPr>
        <w:pStyle w:val="Heading1"/>
      </w:pPr>
      <w:bookmarkStart w:id="3" w:name="O_1167642"/>
      <w:bookmarkEnd w:id="3"/>
      <w:r w:rsidRPr="002042C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 w:rsidP="002042C4">
            <w:pPr>
              <w:pStyle w:val="BodyText"/>
            </w:pPr>
            <w:r w:rsidRPr="002042C4">
              <w:t>Not applicable.</w:t>
            </w:r>
          </w:p>
        </w:tc>
      </w:tr>
    </w:tbl>
    <w:p w:rsidR="00247557" w:rsidP="002042C4">
      <w:pPr>
        <w:pStyle w:val="NoPaddingFontSize1"/>
      </w:pPr>
    </w:p>
    <w:p w:rsidR="00247557" w:rsidP="002042C4">
      <w:pPr>
        <w:pStyle w:val="NoPaddingFontSize1"/>
      </w:pPr>
    </w:p>
    <w:p w:rsidR="00000000" w:rsidRPr="002042C4" w:rsidP="002042C4">
      <w:pPr>
        <w:pStyle w:val="Heading1"/>
      </w:pPr>
      <w:bookmarkStart w:id="4" w:name="O_1167643"/>
      <w:bookmarkEnd w:id="4"/>
      <w:r w:rsidRPr="002042C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 w:rsidP="002042C4">
            <w:pPr>
              <w:pStyle w:val="BodyText"/>
            </w:pPr>
            <w:r w:rsidRPr="002042C4">
              <w:t>X – Logistics</w:t>
            </w:r>
          </w:p>
        </w:tc>
      </w:tr>
    </w:tbl>
    <w:p w:rsidR="00247557" w:rsidP="002042C4">
      <w:pPr>
        <w:pStyle w:val="NoPaddingFontSize1"/>
      </w:pPr>
    </w:p>
    <w:p w:rsidR="00247557" w:rsidP="002042C4">
      <w:pPr>
        <w:pStyle w:val="NoPaddingFontSize1"/>
      </w:pPr>
    </w:p>
    <w:p w:rsidR="00000000" w:rsidRPr="002042C4" w:rsidP="002042C4">
      <w:pPr>
        <w:pStyle w:val="Heading1"/>
      </w:pPr>
      <w:bookmarkStart w:id="5" w:name="O_1167644"/>
      <w:bookmarkEnd w:id="5"/>
      <w:r w:rsidRPr="002042C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 w:rsidP="002042C4">
            <w:pPr>
              <w:pStyle w:val="BodyText"/>
            </w:pPr>
            <w:r w:rsidRPr="002042C4">
              <w:t>Integrated logistics</w:t>
            </w:r>
          </w:p>
        </w:tc>
      </w:tr>
    </w:tbl>
    <w:p w:rsidR="00247557" w:rsidP="002042C4">
      <w:pPr>
        <w:pStyle w:val="NoPaddingFontSize1"/>
      </w:pPr>
    </w:p>
    <w:p w:rsidR="00247557" w:rsidP="002042C4">
      <w:pPr>
        <w:pStyle w:val="NoPaddingFontSize1"/>
      </w:pPr>
    </w:p>
    <w:p w:rsidR="00000000" w:rsidRPr="002042C4" w:rsidP="002042C4">
      <w:pPr>
        <w:pStyle w:val="Heading1"/>
      </w:pPr>
      <w:bookmarkStart w:id="6" w:name="O_1167645"/>
      <w:bookmarkEnd w:id="6"/>
      <w:r w:rsidRPr="002042C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042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 w:rsidP="002042C4">
            <w:pPr>
              <w:pStyle w:val="BodyText"/>
            </w:pPr>
            <w:r w:rsidRPr="002042C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rPr>
                <w:rStyle w:val="SpecialBold"/>
              </w:rPr>
              <w:t>PERFORMANCE CRITERIA</w:t>
            </w:r>
          </w:p>
        </w:tc>
      </w:tr>
      <w:tr w:rsidTr="002042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t>Performance criteria describe the performance needed to demonstrate achievement of the element.</w:t>
            </w:r>
          </w:p>
        </w:tc>
      </w:tr>
      <w:tr w:rsidTr="002042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 w:rsidP="002042C4">
            <w:pPr>
              <w:pStyle w:val="BodyText"/>
            </w:pPr>
            <w:r w:rsidRPr="002042C4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 w:rsidP="002042C4">
            <w:pPr>
              <w:pStyle w:val="BodyText"/>
            </w:pPr>
            <w:r w:rsidRPr="002042C4">
              <w:rPr>
                <w:rStyle w:val="SpecialBold"/>
              </w:rPr>
              <w:t xml:space="preserve">Identify source data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t>Integrated logistic support (ILS) strategy for the program is reviewed to ensure relevance and alignment of LORA</w:t>
            </w:r>
          </w:p>
        </w:tc>
      </w:tr>
      <w:tr w:rsidTr="002042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t>Organisational procurement and supply chain and other relevant policies for each identified item are interpreted</w:t>
            </w:r>
          </w:p>
        </w:tc>
      </w:tr>
      <w:tr w:rsidTr="002042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t>Contractual and regulatory requirements are determined and reviewed</w:t>
            </w:r>
          </w:p>
        </w:tc>
      </w:tr>
      <w:tr w:rsidTr="002042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t>LSA data is reviewed in line with trends in system supportability and affordability</w:t>
            </w:r>
          </w:p>
        </w:tc>
      </w:tr>
      <w:tr w:rsidTr="002042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 w:rsidP="002042C4">
            <w:pPr>
              <w:pStyle w:val="BodyText"/>
            </w:pPr>
            <w:r w:rsidRPr="002042C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 w:rsidP="002042C4">
            <w:pPr>
              <w:pStyle w:val="BodyText"/>
            </w:pPr>
            <w:r w:rsidRPr="002042C4">
              <w:rPr>
                <w:rStyle w:val="SpecialBold"/>
              </w:rPr>
              <w:t>Establish and maintain baselines for LSA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t>LSA data is gathered in accordance with organisat</w:t>
            </w:r>
            <w:r w:rsidRPr="002042C4">
              <w:t>ional procedures</w:t>
            </w:r>
          </w:p>
        </w:tc>
      </w:tr>
      <w:tr w:rsidTr="002042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t>LSA data is interpreted, and consistent level of repair criteria are defined</w:t>
            </w:r>
          </w:p>
        </w:tc>
      </w:tr>
      <w:tr w:rsidTr="002042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t>LSA baseline data and actions to deal with deviations or failure from established baselines are reviewed</w:t>
            </w:r>
          </w:p>
        </w:tc>
      </w:tr>
      <w:tr w:rsidTr="002042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t>LORA is interpreted to inform maintenance and supply support requirements</w:t>
            </w:r>
          </w:p>
        </w:tc>
      </w:tr>
      <w:tr w:rsidTr="002042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t>LORA data is interpreted to confirm coverage of the operating support intent</w:t>
            </w:r>
          </w:p>
        </w:tc>
      </w:tr>
      <w:tr w:rsidTr="002042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t>Maintenance plan and associated requirements are revised by baseline data changes</w:t>
            </w:r>
          </w:p>
        </w:tc>
      </w:tr>
      <w:tr w:rsidTr="002042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t>Verification and validation of data is completed to confirm performance outcomes</w:t>
            </w:r>
          </w:p>
        </w:tc>
      </w:tr>
      <w:tr w:rsidTr="002042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 w:rsidP="002042C4">
            <w:pPr>
              <w:pStyle w:val="BodyText"/>
            </w:pPr>
            <w:r w:rsidRPr="002042C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 w:rsidP="002042C4">
            <w:pPr>
              <w:pStyle w:val="BodyText"/>
            </w:pPr>
            <w:r w:rsidRPr="002042C4">
              <w:rPr>
                <w:rStyle w:val="SpecialBold"/>
              </w:rPr>
              <w:t>Document LORA and related analyses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t>LSA parameters are analysed using current data</w:t>
            </w:r>
          </w:p>
        </w:tc>
      </w:tr>
      <w:tr w:rsidTr="002042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t>Logistics support management information systems are updated in accordance with contractual, regulatory requirements and organisational procedures</w:t>
            </w:r>
          </w:p>
        </w:tc>
      </w:tr>
      <w:tr w:rsidTr="002042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t>Level of analyses, the data sources and techniques used in performing the analysis, including the syst</w:t>
            </w:r>
            <w:r w:rsidRPr="002042C4">
              <w:t>em definition narrative, resultant analysis data, and worksheets are summarised, and the results documented</w:t>
            </w:r>
          </w:p>
        </w:tc>
      </w:tr>
      <w:tr w:rsidTr="002042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 w:rsidP="002042C4">
            <w:pPr>
              <w:pStyle w:val="BodyText"/>
            </w:pPr>
            <w:r w:rsidRPr="002042C4">
              <w:t xml:space="preserve">Conclusions and recommendations based upon the analysis and recommended actions are documented in </w:t>
            </w:r>
            <w:r w:rsidRPr="002042C4">
              <w:t>accordance with organisational procedures</w:t>
            </w:r>
          </w:p>
        </w:tc>
      </w:tr>
    </w:tbl>
    <w:p w:rsidR="00247557" w:rsidP="002042C4">
      <w:pPr>
        <w:pStyle w:val="NoPaddingFontSize1"/>
      </w:pPr>
    </w:p>
    <w:p w:rsidR="00247557" w:rsidP="002042C4">
      <w:pPr>
        <w:pStyle w:val="NoPaddingFontSize1"/>
      </w:pPr>
    </w:p>
    <w:p w:rsidR="00000000" w:rsidRPr="002042C4" w:rsidP="002042C4">
      <w:pPr>
        <w:pStyle w:val="Heading1"/>
      </w:pPr>
      <w:bookmarkStart w:id="7" w:name="O_1167646"/>
      <w:bookmarkEnd w:id="7"/>
      <w:r w:rsidRPr="002042C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 w:rsidP="002042C4">
            <w:pPr>
              <w:pStyle w:val="BodyText"/>
            </w:pPr>
            <w:r w:rsidRPr="002042C4">
              <w:t>Foundation skills essential to performance are explicit in the performance criteria of this unit of competency.</w:t>
            </w:r>
          </w:p>
        </w:tc>
      </w:tr>
    </w:tbl>
    <w:p w:rsidR="00247557" w:rsidP="002042C4">
      <w:pPr>
        <w:pStyle w:val="NoPaddingFontSize1"/>
      </w:pPr>
    </w:p>
    <w:p w:rsidR="00247557" w:rsidP="002042C4">
      <w:pPr>
        <w:pStyle w:val="NoPaddingFontSize1"/>
      </w:pPr>
    </w:p>
    <w:p w:rsidR="00000000" w:rsidRPr="002042C4" w:rsidP="002042C4">
      <w:pPr>
        <w:pStyle w:val="Heading1"/>
      </w:pPr>
      <w:bookmarkStart w:id="8" w:name="O_1167647"/>
      <w:bookmarkEnd w:id="8"/>
      <w:r w:rsidRPr="002042C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 w:rsidP="002042C4">
            <w:pPr>
              <w:pStyle w:val="BodyText"/>
            </w:pPr>
            <w:r w:rsidRPr="002042C4">
              <w:t>Range is restricted to essential operating conditions and any other variables essential to the work environment.</w:t>
            </w:r>
          </w:p>
        </w:tc>
      </w:tr>
    </w:tbl>
    <w:p w:rsidR="00247557" w:rsidP="002042C4">
      <w:pPr>
        <w:pStyle w:val="NoPaddingFontSize1"/>
      </w:pPr>
    </w:p>
    <w:p w:rsidR="00247557" w:rsidP="002042C4">
      <w:pPr>
        <w:pStyle w:val="NoPaddingFontSize1"/>
      </w:pPr>
    </w:p>
    <w:p w:rsidR="00000000" w:rsidRPr="002042C4" w:rsidP="002042C4">
      <w:pPr>
        <w:pStyle w:val="Heading1"/>
      </w:pPr>
      <w:bookmarkStart w:id="9" w:name="O_1167648"/>
      <w:bookmarkEnd w:id="9"/>
      <w:r w:rsidRPr="002042C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 w:rsidP="002042C4">
            <w:pPr>
              <w:pStyle w:val="BodyText"/>
            </w:pPr>
            <w:r w:rsidRPr="002042C4">
              <w:t>This is a new unit. No equivalent unit.</w:t>
            </w:r>
          </w:p>
        </w:tc>
      </w:tr>
    </w:tbl>
    <w:p w:rsidR="00247557" w:rsidP="002042C4">
      <w:pPr>
        <w:pStyle w:val="NoPaddingFontSize1"/>
      </w:pPr>
    </w:p>
    <w:p w:rsidR="00247557" w:rsidP="002042C4">
      <w:pPr>
        <w:pStyle w:val="NoPaddingFontSize1"/>
      </w:pPr>
    </w:p>
    <w:p w:rsidR="00000000" w:rsidRPr="002042C4" w:rsidP="002042C4">
      <w:pPr>
        <w:pStyle w:val="Heading1"/>
      </w:pPr>
      <w:bookmarkStart w:id="10" w:name="O_1167655"/>
      <w:bookmarkEnd w:id="10"/>
      <w:r w:rsidRPr="002042C4">
        <w:t>Links</w:t>
      </w:r>
    </w:p>
    <w:p w:rsidR="00000000" w:rsidRPr="002042C4" w:rsidP="00247557">
      <w:pPr>
        <w:pStyle w:val="BodyText"/>
      </w:pPr>
      <w:r w:rsidRPr="002042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E60F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042C4" w:rsidP="00247557">
      <w:pPr>
        <w:pStyle w:val="BodyText"/>
        <w:sectPr w:rsidSect="002042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42C4" w:rsidP="002042C4">
      <w:pPr>
        <w:pStyle w:val="SuperHeading"/>
      </w:pPr>
      <w:r w:rsidRPr="002042C4">
        <w:t>Assessment Requirements for TLIX0030X Evaluate LORA in a defenc</w:t>
      </w:r>
      <w:r w:rsidRPr="002042C4">
        <w:t>e integrated logistics environment</w:t>
      </w:r>
    </w:p>
    <w:p w:rsidR="00000000" w:rsidRPr="002042C4" w:rsidP="002042C4">
      <w:pPr>
        <w:pStyle w:val="Heading1"/>
      </w:pPr>
      <w:bookmarkStart w:id="11" w:name="O_1167650"/>
      <w:bookmarkEnd w:id="11"/>
      <w:r w:rsidRPr="002042C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 w:rsidP="002042C4">
            <w:pPr>
              <w:pStyle w:val="BodyText"/>
            </w:pPr>
            <w:r w:rsidRPr="002042C4">
              <w:t>Release 1. This is the first release of this unit of competency in the TLI Transport and Logistics Training Package.</w:t>
            </w:r>
          </w:p>
        </w:tc>
      </w:tr>
    </w:tbl>
    <w:p w:rsidR="00247557" w:rsidP="002042C4">
      <w:pPr>
        <w:pStyle w:val="NoPaddingFontSize1"/>
      </w:pPr>
    </w:p>
    <w:p w:rsidR="00247557" w:rsidP="002042C4">
      <w:pPr>
        <w:pStyle w:val="NoPaddingFontSize1"/>
      </w:pPr>
    </w:p>
    <w:p w:rsidR="00000000" w:rsidRPr="002042C4" w:rsidP="002042C4">
      <w:pPr>
        <w:pStyle w:val="Heading1"/>
      </w:pPr>
      <w:bookmarkStart w:id="12" w:name="O_1167651"/>
      <w:bookmarkEnd w:id="12"/>
      <w:r w:rsidRPr="002042C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t>Evidence required to d</w:t>
            </w:r>
            <w:r w:rsidRPr="002042C4">
              <w:t xml:space="preserve">emonstrate competence in this unit must be relevant to and satisfy all of the requirements of the elements and performance criteria on at least two separate occasions and include: </w:t>
            </w:r>
          </w:p>
        </w:tc>
      </w:tr>
      <w:tr w:rsidTr="00204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 w:rsidP="002042C4">
            <w:pPr>
              <w:pStyle w:val="ListBullet"/>
            </w:pPr>
            <w:r w:rsidRPr="002042C4">
              <w:t>documenting level of repair analysis (LORA)</w:t>
            </w:r>
          </w:p>
          <w:p w:rsidR="00000000" w:rsidRPr="002042C4" w:rsidP="002042C4">
            <w:pPr>
              <w:pStyle w:val="ListBullet"/>
            </w:pPr>
            <w:r w:rsidRPr="002042C4">
              <w:t>evaluating LORA in a defence integrated logistics environment</w:t>
            </w:r>
          </w:p>
          <w:p w:rsidR="00000000" w:rsidRPr="002042C4" w:rsidP="002042C4">
            <w:pPr>
              <w:pStyle w:val="ListBullet"/>
            </w:pPr>
            <w:r w:rsidRPr="002042C4">
              <w:t>identifying and consulting with relevant stakeholders</w:t>
            </w:r>
          </w:p>
          <w:p w:rsidR="00000000" w:rsidRPr="002042C4" w:rsidP="002042C4">
            <w:pPr>
              <w:pStyle w:val="ListBullet"/>
            </w:pPr>
            <w:r w:rsidRPr="002042C4">
              <w:t>identifying source data</w:t>
            </w:r>
          </w:p>
          <w:p w:rsidR="00000000" w:rsidRPr="002042C4" w:rsidP="002042C4">
            <w:pPr>
              <w:pStyle w:val="ListBullet"/>
            </w:pPr>
            <w:r w:rsidRPr="002042C4">
              <w:t>identifying, interpreting and applying legislation, policies and procedures that may impact on supply support</w:t>
            </w:r>
          </w:p>
          <w:p w:rsidR="00000000" w:rsidRPr="002042C4" w:rsidP="002042C4">
            <w:pPr>
              <w:pStyle w:val="ListBullet"/>
            </w:pPr>
            <w:r w:rsidRPr="002042C4">
              <w:t>identi</w:t>
            </w:r>
            <w:r w:rsidRPr="002042C4">
              <w:t xml:space="preserve">fying, obtaining and interpreting documentation </w:t>
            </w:r>
          </w:p>
          <w:p w:rsidR="00000000" w:rsidRPr="002042C4" w:rsidP="002042C4">
            <w:pPr>
              <w:pStyle w:val="ListBullet"/>
            </w:pPr>
            <w:r w:rsidRPr="002042C4">
              <w:t>revising logistic support analysis (LSA) data</w:t>
            </w:r>
          </w:p>
          <w:p w:rsidR="00000000" w:rsidRPr="002042C4" w:rsidP="002042C4">
            <w:pPr>
              <w:pStyle w:val="ListBullet"/>
            </w:pPr>
            <w:r w:rsidRPr="002042C4">
              <w:t>working collaboratively with internal/external personnel/stakeholders to achieve required supply support outcomes.</w:t>
            </w:r>
          </w:p>
        </w:tc>
      </w:tr>
    </w:tbl>
    <w:p w:rsidR="00247557" w:rsidP="002042C4">
      <w:pPr>
        <w:pStyle w:val="NoPaddingFontSize1"/>
      </w:pPr>
    </w:p>
    <w:p w:rsidR="00247557" w:rsidP="002042C4">
      <w:pPr>
        <w:pStyle w:val="NoPaddingFontSize1"/>
      </w:pPr>
    </w:p>
    <w:p w:rsidR="00000000" w:rsidRPr="002042C4" w:rsidP="002042C4">
      <w:pPr>
        <w:pStyle w:val="Heading1"/>
      </w:pPr>
      <w:bookmarkStart w:id="13" w:name="O_1167652"/>
      <w:bookmarkEnd w:id="13"/>
      <w:r w:rsidRPr="002042C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4">
            <w:pPr>
              <w:pStyle w:val="BodyText"/>
              <w:rPr>
                <w:lang w:val="en-NZ"/>
              </w:rPr>
            </w:pPr>
            <w:r w:rsidRPr="002042C4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204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 w:rsidP="002042C4">
            <w:pPr>
              <w:pStyle w:val="ListBullet"/>
            </w:pPr>
            <w:r w:rsidRPr="002042C4">
              <w:t>f</w:t>
            </w:r>
            <w:r w:rsidRPr="002042C4">
              <w:t>actors to be considered in integrated logistics support (ILS) planning and management</w:t>
            </w:r>
          </w:p>
          <w:p w:rsidR="00000000" w:rsidRPr="002042C4" w:rsidP="002042C4">
            <w:pPr>
              <w:pStyle w:val="ListBullet"/>
            </w:pPr>
            <w:r w:rsidRPr="002042C4">
              <w:t>legislation and industry standards relevant to ILS</w:t>
            </w:r>
          </w:p>
          <w:p w:rsidR="00000000" w:rsidRPr="002042C4" w:rsidP="002042C4">
            <w:pPr>
              <w:pStyle w:val="ListBullet"/>
            </w:pPr>
            <w:r w:rsidRPr="002042C4">
              <w:t>data requirements and sources to inform LORA</w:t>
            </w:r>
          </w:p>
          <w:p w:rsidR="00000000" w:rsidRPr="002042C4" w:rsidP="002042C4">
            <w:pPr>
              <w:pStyle w:val="ListBullet"/>
            </w:pPr>
            <w:r w:rsidRPr="002042C4">
              <w:t>use of in-service data to inform LORA</w:t>
            </w:r>
          </w:p>
          <w:p w:rsidR="00000000" w:rsidRPr="002042C4" w:rsidP="002042C4">
            <w:pPr>
              <w:pStyle w:val="ListBullet"/>
            </w:pPr>
            <w:r w:rsidRPr="002042C4">
              <w:t>economic and non-economic analysis a</w:t>
            </w:r>
            <w:r w:rsidRPr="002042C4">
              <w:t xml:space="preserve">nd performance measurement </w:t>
            </w:r>
          </w:p>
          <w:p w:rsidR="00000000" w:rsidRPr="002042C4" w:rsidP="002042C4">
            <w:pPr>
              <w:pStyle w:val="ListBullet"/>
            </w:pPr>
            <w:r w:rsidRPr="002042C4">
              <w:t>LSA plan</w:t>
            </w:r>
          </w:p>
          <w:p w:rsidR="00000000" w:rsidRPr="002042C4" w:rsidP="002042C4">
            <w:pPr>
              <w:pStyle w:val="ListBullet"/>
            </w:pPr>
            <w:r w:rsidRPr="002042C4">
              <w:t>LORA in a defence integrated logistics environment</w:t>
            </w:r>
          </w:p>
          <w:p w:rsidR="00000000" w:rsidRPr="002042C4" w:rsidP="002042C4">
            <w:pPr>
              <w:pStyle w:val="ListBullet"/>
            </w:pPr>
            <w:r w:rsidRPr="002042C4">
              <w:t>organisational policies and procedures relevant to ILS, LSA and LORA</w:t>
            </w:r>
          </w:p>
          <w:p w:rsidR="00000000" w:rsidRPr="002042C4" w:rsidP="002042C4">
            <w:pPr>
              <w:pStyle w:val="ListBullet"/>
            </w:pPr>
            <w:r w:rsidRPr="002042C4">
              <w:t>legislation and industry standards relevant to ILS, LSA and LORA.</w:t>
            </w:r>
          </w:p>
        </w:tc>
      </w:tr>
    </w:tbl>
    <w:p w:rsidR="00247557" w:rsidP="002042C4">
      <w:pPr>
        <w:pStyle w:val="NoPaddingFontSize1"/>
      </w:pPr>
    </w:p>
    <w:p w:rsidR="00247557" w:rsidP="002042C4">
      <w:pPr>
        <w:pStyle w:val="NoPaddingFontSize1"/>
      </w:pPr>
    </w:p>
    <w:p w:rsidR="00000000" w:rsidRPr="002042C4" w:rsidP="002042C4">
      <w:pPr>
        <w:pStyle w:val="Heading1"/>
      </w:pPr>
      <w:bookmarkStart w:id="14" w:name="O_1167653"/>
      <w:bookmarkEnd w:id="14"/>
      <w:r w:rsidRPr="002042C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4" w:rsidP="002042C4">
            <w:pPr>
              <w:pStyle w:val="BodyText"/>
            </w:pPr>
            <w:r w:rsidRPr="002042C4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2042C4" w:rsidP="002042C4">
            <w:pPr>
              <w:pStyle w:val="BodyText"/>
            </w:pPr>
            <w:r w:rsidRPr="002042C4">
              <w:t>As a minimum, assessment must satisfy appli</w:t>
            </w:r>
            <w:r w:rsidRPr="002042C4">
              <w:t>cable regulatory requirements, which include requirements in the Standards for Registered Training Organisations current at the time of assessment.</w:t>
            </w:r>
          </w:p>
          <w:p w:rsidR="00000000" w:rsidRPr="002042C4" w:rsidP="002042C4">
            <w:pPr>
              <w:pStyle w:val="BodyText"/>
            </w:pPr>
            <w:r w:rsidRPr="002042C4">
              <w:t>Assessment must occur in workplace operational situations where it is appropriate to do so; where this is no</w:t>
            </w:r>
            <w:r w:rsidRPr="002042C4">
              <w:t xml:space="preserve">t appropriate, assessment must occur in simulated workplace operational situations that replicate workplace conditions. </w:t>
            </w:r>
          </w:p>
          <w:p w:rsidR="00000000" w:rsidRPr="002042C4" w:rsidP="002042C4">
            <w:pPr>
              <w:pStyle w:val="BodyText"/>
            </w:pPr>
            <w:r w:rsidRPr="002042C4">
              <w:t>Assessment processes and techniques must be appropriate to the language, literacy and numeracy requirements of the work being performed</w:t>
            </w:r>
            <w:r w:rsidRPr="002042C4">
              <w:t xml:space="preserve"> and the needs of the candidate.</w:t>
            </w:r>
          </w:p>
          <w:p w:rsidR="00000000" w:rsidRPr="002042C4" w:rsidP="002042C4">
            <w:pPr>
              <w:pStyle w:val="BodyText"/>
            </w:pPr>
            <w:r w:rsidRPr="002042C4">
              <w:t>Resources for assessment include access to:</w:t>
            </w:r>
          </w:p>
          <w:p w:rsidR="00000000" w:rsidRPr="002042C4" w:rsidP="002042C4">
            <w:pPr>
              <w:pStyle w:val="ListBullet"/>
            </w:pPr>
            <w:r w:rsidRPr="002042C4">
              <w:t>a range of relevant exercises, case studies and/or simulations</w:t>
            </w:r>
          </w:p>
          <w:p w:rsidR="00000000" w:rsidRPr="002042C4" w:rsidP="002042C4">
            <w:pPr>
              <w:pStyle w:val="ListBullet"/>
            </w:pPr>
            <w:r w:rsidRPr="002042C4">
              <w:t>applicable documentation, including organisational policies and procedures, legislation, data and/or modelling appl</w:t>
            </w:r>
            <w:r w:rsidRPr="002042C4">
              <w:t>icable to ILS, industry standards and/or specifications and access to relevant organisational information management systems</w:t>
            </w:r>
          </w:p>
          <w:p w:rsidR="00000000" w:rsidRPr="002042C4" w:rsidP="002042C4">
            <w:pPr>
              <w:pStyle w:val="ListBullet"/>
            </w:pPr>
            <w:r w:rsidRPr="002042C4">
              <w:t>relevant materials, tools, equipment and personal protective equipment (PPE) currently used in industry.</w:t>
            </w:r>
          </w:p>
        </w:tc>
      </w:tr>
    </w:tbl>
    <w:p w:rsidR="00247557" w:rsidP="002042C4">
      <w:pPr>
        <w:pStyle w:val="NoPaddingFontSize1"/>
      </w:pPr>
    </w:p>
    <w:p w:rsidR="00247557" w:rsidP="002042C4">
      <w:pPr>
        <w:pStyle w:val="NoPaddingFontSize1"/>
      </w:pPr>
    </w:p>
    <w:p w:rsidR="00000000" w:rsidRPr="002042C4" w:rsidP="002042C4">
      <w:pPr>
        <w:pStyle w:val="Heading1"/>
      </w:pPr>
      <w:bookmarkStart w:id="15" w:name="O_1167656"/>
      <w:bookmarkEnd w:id="15"/>
      <w:r w:rsidRPr="002042C4">
        <w:t>Links</w:t>
      </w:r>
    </w:p>
    <w:p w:rsidR="00000000" w:rsidRPr="002042C4" w:rsidP="00247557">
      <w:pPr>
        <w:pStyle w:val="BodyText"/>
      </w:pPr>
      <w:r w:rsidRPr="002042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E60F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042C4" w:rsidP="002042C4"/>
    <w:sectPr w:rsidSect="002042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C4" w:rsidRPr="00247557" w:rsidP="002475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557" w:rsidP="002042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7557" w:rsidP="002042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47557" w:rsidP="002042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C4" w:rsidP="002042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7557">
      <w:t>Approved</w:t>
    </w:r>
    <w:r w:rsidR="002475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755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7557">
      <w:rPr>
        <w:noProof/>
      </w:rPr>
      <w:t>4</w:t>
    </w:r>
    <w:r>
      <w:rPr>
        <w:noProof/>
      </w:rPr>
      <w:fldChar w:fldCharType="end"/>
    </w:r>
  </w:p>
  <w:p w:rsidR="002042C4" w:rsidP="002042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75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7557">
      <w:t>Industry Skills Australia</w:t>
    </w:r>
    <w:r w:rsidR="00247557">
      <w:fldChar w:fldCharType="end"/>
    </w:r>
  </w:p>
  <w:p w:rsidR="002042C4" w:rsidP="002042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5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2C4" w:rsidRPr="00247557" w:rsidP="002475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557" w:rsidRPr="002D2AF8" w:rsidP="002042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TLIX0030X Evaluate LORA in a defence integrated logistics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7557" w:rsidP="002042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C4" w:rsidRPr="002D2AF8" w:rsidP="002042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7557">
      <w:t>TLIX0030X Evaluate LORA in a defence integrated logistics environment</w:t>
    </w:r>
    <w:r w:rsidR="002475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7557">
      <w:rPr>
        <w:noProof/>
      </w:rPr>
      <w:t>2 March 2025</w:t>
    </w:r>
    <w:r>
      <w:fldChar w:fldCharType="end"/>
    </w:r>
  </w:p>
  <w:p w:rsidR="002042C4" w:rsidP="002042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58E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DCC0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2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2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2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2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2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2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2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2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2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2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2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2C4"/>
  </w:style>
  <w:style w:type="character" w:customStyle="1" w:styleId="Heading1Char">
    <w:name w:val="Heading 1 Char"/>
    <w:basedOn w:val="DefaultParagraphFont"/>
    <w:link w:val="Heading1"/>
    <w:rsid w:val="002042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2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2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2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42C4"/>
    <w:rPr>
      <w:b/>
      <w:spacing w:val="0"/>
    </w:rPr>
  </w:style>
  <w:style w:type="paragraph" w:customStyle="1" w:styleId="SuperHeading">
    <w:name w:val="SuperHeading"/>
    <w:basedOn w:val="Normal"/>
    <w:rsid w:val="002042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2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042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2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2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2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2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2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2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2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2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2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2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2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2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2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2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2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2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2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2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2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42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2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2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42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42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2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2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2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2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2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2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2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2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2C4"/>
    <w:rPr>
      <w:i/>
    </w:rPr>
  </w:style>
  <w:style w:type="paragraph" w:styleId="Caption">
    <w:name w:val="caption"/>
    <w:basedOn w:val="BodyText"/>
    <w:next w:val="Normal"/>
    <w:qFormat/>
    <w:rsid w:val="002042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2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2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2C4"/>
  </w:style>
  <w:style w:type="paragraph" w:styleId="TableofFigures">
    <w:name w:val="table of figures"/>
    <w:basedOn w:val="Normal"/>
    <w:next w:val="Normal"/>
    <w:semiHidden/>
    <w:rsid w:val="002042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2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42C4"/>
    <w:rPr>
      <w:rFonts w:ascii="Wingdings" w:hAnsi="Wingdings"/>
    </w:rPr>
  </w:style>
  <w:style w:type="paragraph" w:customStyle="1" w:styleId="TableHeading">
    <w:name w:val="Table Heading"/>
    <w:basedOn w:val="HeadingBase"/>
    <w:rsid w:val="002042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2C4"/>
    <w:rPr>
      <w:color w:val="0033CC"/>
      <w:u w:val="none"/>
    </w:rPr>
  </w:style>
  <w:style w:type="paragraph" w:customStyle="1" w:styleId="BodyTextRight">
    <w:name w:val="Body Text Right"/>
    <w:basedOn w:val="BodyText"/>
    <w:rsid w:val="002042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2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2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2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2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2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2C4"/>
    <w:rPr>
      <w:sz w:val="32"/>
    </w:rPr>
  </w:style>
  <w:style w:type="paragraph" w:customStyle="1" w:styleId="HeadingProcedure">
    <w:name w:val="Heading Procedure"/>
    <w:basedOn w:val="HeadingBase"/>
    <w:next w:val="Normal"/>
    <w:rsid w:val="002042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2C4"/>
    <w:pPr>
      <w:spacing w:before="60" w:after="60"/>
    </w:pPr>
  </w:style>
  <w:style w:type="paragraph" w:styleId="ListContinue">
    <w:name w:val="List Continue"/>
    <w:basedOn w:val="List"/>
    <w:rsid w:val="002042C4"/>
    <w:pPr>
      <w:ind w:firstLine="0"/>
    </w:pPr>
  </w:style>
  <w:style w:type="paragraph" w:customStyle="1" w:styleId="ListNote">
    <w:name w:val="List Note"/>
    <w:basedOn w:val="List"/>
    <w:rsid w:val="002042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2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2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2C4"/>
    <w:rPr>
      <w:rFonts w:ascii="Courier New" w:hAnsi="Courier New"/>
    </w:rPr>
  </w:style>
  <w:style w:type="paragraph" w:customStyle="1" w:styleId="NoteBullet">
    <w:name w:val="Note Bullet"/>
    <w:basedOn w:val="Note"/>
    <w:rsid w:val="002042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2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2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2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2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42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2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2C4"/>
    <w:rPr>
      <w:b/>
      <w:smallCaps/>
    </w:rPr>
  </w:style>
  <w:style w:type="paragraph" w:customStyle="1" w:styleId="TableListNumber">
    <w:name w:val="Table List Number"/>
    <w:basedOn w:val="ListNumber"/>
    <w:rsid w:val="002042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2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2C4"/>
    <w:pPr>
      <w:numPr>
        <w:numId w:val="8"/>
      </w:numPr>
    </w:pPr>
  </w:style>
  <w:style w:type="paragraph" w:customStyle="1" w:styleId="ListAlpha2">
    <w:name w:val="List Alpha 2"/>
    <w:basedOn w:val="List2"/>
    <w:rsid w:val="002042C4"/>
    <w:pPr>
      <w:numPr>
        <w:numId w:val="7"/>
      </w:numPr>
    </w:pPr>
  </w:style>
  <w:style w:type="paragraph" w:styleId="List2">
    <w:name w:val="List 2"/>
    <w:basedOn w:val="BodyText"/>
    <w:rsid w:val="002042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2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2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2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2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2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42C4"/>
    <w:pPr>
      <w:numPr>
        <w:numId w:val="3"/>
      </w:numPr>
    </w:pPr>
  </w:style>
  <w:style w:type="paragraph" w:styleId="ListContinue2">
    <w:name w:val="List Continue 2"/>
    <w:basedOn w:val="List2"/>
    <w:rsid w:val="002042C4"/>
    <w:pPr>
      <w:ind w:firstLine="0"/>
    </w:pPr>
  </w:style>
  <w:style w:type="paragraph" w:styleId="ListContinue3">
    <w:name w:val="List Continue 3"/>
    <w:basedOn w:val="List3"/>
    <w:rsid w:val="002042C4"/>
    <w:pPr>
      <w:ind w:left="1021" w:firstLine="0"/>
    </w:pPr>
  </w:style>
  <w:style w:type="paragraph" w:styleId="ListContinue4">
    <w:name w:val="List Continue 4"/>
    <w:basedOn w:val="List4"/>
    <w:rsid w:val="002042C4"/>
    <w:pPr>
      <w:ind w:firstLine="0"/>
    </w:pPr>
  </w:style>
  <w:style w:type="paragraph" w:styleId="ListContinue5">
    <w:name w:val="List Continue 5"/>
    <w:basedOn w:val="List5"/>
    <w:rsid w:val="002042C4"/>
    <w:pPr>
      <w:ind w:firstLine="0"/>
    </w:pPr>
  </w:style>
  <w:style w:type="paragraph" w:styleId="ListNumber3">
    <w:name w:val="List Number 3"/>
    <w:basedOn w:val="List3"/>
    <w:rsid w:val="002042C4"/>
    <w:pPr>
      <w:numPr>
        <w:numId w:val="4"/>
      </w:numPr>
    </w:pPr>
  </w:style>
  <w:style w:type="paragraph" w:styleId="ListNumber4">
    <w:name w:val="List Number 4"/>
    <w:basedOn w:val="List4"/>
    <w:rsid w:val="002042C4"/>
    <w:pPr>
      <w:numPr>
        <w:numId w:val="5"/>
      </w:numPr>
    </w:pPr>
  </w:style>
  <w:style w:type="paragraph" w:styleId="ListNumber5">
    <w:name w:val="List Number 5"/>
    <w:basedOn w:val="List5"/>
    <w:rsid w:val="002042C4"/>
    <w:pPr>
      <w:numPr>
        <w:numId w:val="6"/>
      </w:numPr>
    </w:pPr>
  </w:style>
  <w:style w:type="paragraph" w:styleId="BlockText">
    <w:name w:val="Block Text"/>
    <w:basedOn w:val="Normal"/>
    <w:rsid w:val="002042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2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2C4"/>
    <w:rPr>
      <w:sz w:val="16"/>
      <w:vertAlign w:val="superscript"/>
    </w:rPr>
  </w:style>
  <w:style w:type="character" w:customStyle="1" w:styleId="Symbols">
    <w:name w:val="Symbols"/>
    <w:basedOn w:val="DefaultParagraphFont"/>
    <w:rsid w:val="002042C4"/>
    <w:rPr>
      <w:rFonts w:ascii="Symbol" w:hAnsi="Symbol"/>
    </w:rPr>
  </w:style>
  <w:style w:type="character" w:customStyle="1" w:styleId="MenuOptions">
    <w:name w:val="Menu Options"/>
    <w:basedOn w:val="DefaultParagraphFont"/>
    <w:rsid w:val="002042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2C4"/>
    <w:rPr>
      <w:b/>
    </w:rPr>
  </w:style>
  <w:style w:type="character" w:customStyle="1" w:styleId="Underlined">
    <w:name w:val="Underlined"/>
    <w:basedOn w:val="DefaultParagraphFont"/>
    <w:rsid w:val="002042C4"/>
    <w:rPr>
      <w:u w:val="single"/>
    </w:rPr>
  </w:style>
  <w:style w:type="paragraph" w:customStyle="1" w:styleId="TableBodyTextRight">
    <w:name w:val="Table Body Text Right"/>
    <w:basedOn w:val="TableBodyText"/>
    <w:rsid w:val="002042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2C4"/>
    <w:rPr>
      <w:sz w:val="18"/>
    </w:rPr>
  </w:style>
  <w:style w:type="paragraph" w:customStyle="1" w:styleId="BodySmallRight">
    <w:name w:val="Body Small Right"/>
    <w:basedOn w:val="BodyTextRight"/>
    <w:rsid w:val="002042C4"/>
    <w:rPr>
      <w:sz w:val="18"/>
      <w:szCs w:val="18"/>
    </w:rPr>
  </w:style>
  <w:style w:type="paragraph" w:customStyle="1" w:styleId="MarginEdition">
    <w:name w:val="Margin Edition"/>
    <w:basedOn w:val="MarginNote"/>
    <w:rsid w:val="002042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2C4"/>
    <w:rPr>
      <w:sz w:val="2"/>
      <w:szCs w:val="2"/>
    </w:rPr>
  </w:style>
  <w:style w:type="character" w:customStyle="1" w:styleId="Small">
    <w:name w:val="Small"/>
    <w:basedOn w:val="DefaultParagraphFont"/>
    <w:rsid w:val="002042C4"/>
    <w:rPr>
      <w:sz w:val="16"/>
    </w:rPr>
  </w:style>
  <w:style w:type="paragraph" w:customStyle="1" w:styleId="WideTable">
    <w:name w:val="Wide Table"/>
    <w:basedOn w:val="Normal"/>
    <w:rsid w:val="002042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2C4"/>
  </w:style>
  <w:style w:type="paragraph" w:styleId="Quote">
    <w:name w:val="Quote"/>
    <w:basedOn w:val="Heading1"/>
    <w:link w:val="QuoteChar"/>
    <w:qFormat/>
    <w:rsid w:val="002042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2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2C4"/>
    <w:pPr>
      <w:pageBreakBefore/>
    </w:pPr>
  </w:style>
  <w:style w:type="paragraph" w:customStyle="1" w:styleId="Border">
    <w:name w:val="Border"/>
    <w:basedOn w:val="Normal"/>
    <w:qFormat/>
    <w:rsid w:val="002042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2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2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2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2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2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2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2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2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2C4"/>
    <w:rPr>
      <w:u w:val="single"/>
    </w:rPr>
  </w:style>
  <w:style w:type="character" w:customStyle="1" w:styleId="BoldandItalics">
    <w:name w:val="Bold and Italics"/>
    <w:qFormat/>
    <w:rsid w:val="002042C4"/>
    <w:rPr>
      <w:b/>
      <w:i/>
      <w:u w:val="none"/>
    </w:rPr>
  </w:style>
  <w:style w:type="paragraph" w:styleId="BalloonText">
    <w:name w:val="Balloon Text"/>
    <w:basedOn w:val="Normal"/>
    <w:link w:val="BalloonTextChar"/>
    <w:rsid w:val="002042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2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2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2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2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2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2C4"/>
    <w:pPr>
      <w:spacing w:before="0" w:after="0"/>
    </w:pPr>
  </w:style>
  <w:style w:type="paragraph" w:customStyle="1" w:styleId="BodyTextBold">
    <w:name w:val="Body Text Bold"/>
    <w:basedOn w:val="BodyText"/>
    <w:qFormat/>
    <w:rsid w:val="002042C4"/>
    <w:rPr>
      <w:b/>
    </w:rPr>
  </w:style>
  <w:style w:type="character" w:styleId="Hyperlink">
    <w:name w:val="Hyperlink"/>
    <w:basedOn w:val="DefaultParagraphFont"/>
    <w:uiPriority w:val="99"/>
    <w:unhideWhenUsed/>
    <w:rsid w:val="002475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6212</Characters>
  <Application>Microsoft Office Word</Application>
  <DocSecurity>0</DocSecurity>
  <Lines>221</Lines>
  <Paragraphs>121</Paragraphs>
  <ScaleCrop>false</ScaleCrop>
  <Company>Author-it Software Corporation Ltd.</Company>
  <LinksUpToDate>false</LinksUpToDate>
  <CharactersWithSpaces>7055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TLIX0030X Evaluate LORA in a defence integrated logistics environment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2025-03-01T19:39:00Z</dcterms:created>
  <dcterms:modified xsi:type="dcterms:W3CDTF">2025-03-01T19:39:00Z</dcterms:modified>
</cp:coreProperties>
</file>