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2B4" w:rsidP="00D76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TLIX0027 Work safely at a fuel storage and dispensing site</w:t>
      </w:r>
      <w:r>
        <w:fldChar w:fldCharType="end"/>
      </w:r>
    </w:p>
    <w:p w:rsidR="00D762B4" w:rsidP="00D762B4">
      <w:pPr>
        <w:pStyle w:val="Version"/>
        <w:sectPr w:rsidSect="00BF4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677" w:rsidP="00BF4677">
      <w:pPr>
        <w:pStyle w:val="SuperHeading"/>
      </w:pPr>
      <w:r w:rsidRPr="00BF4677">
        <w:t>TLIX0027 Work safely at a fuel storage and dispensing site</w:t>
      </w:r>
    </w:p>
    <w:p w:rsidR="00000000" w:rsidRPr="00BF4677" w:rsidP="00BF4677">
      <w:pPr>
        <w:pStyle w:val="Heading1"/>
      </w:pPr>
      <w:bookmarkStart w:id="1" w:name="O_1121551"/>
      <w:bookmarkEnd w:id="1"/>
      <w:r w:rsidRPr="00BF46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Release 1. This is the first release of this unit of competency in the TLI Transport and Logistics Training Package.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2" w:name="O_1121552"/>
      <w:bookmarkEnd w:id="2"/>
      <w:r w:rsidRPr="00BF46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This unit relates to the minimum safety requirements for contractor</w:t>
            </w:r>
            <w:r w:rsidRPr="00BF4677">
              <w:t>s working on or near a fuel storage and dispensing site.</w:t>
            </w:r>
          </w:p>
          <w:p w:rsidR="00000000" w:rsidRPr="00BF4677" w:rsidP="00BF4677">
            <w:pPr>
              <w:pStyle w:val="BodyText"/>
            </w:pPr>
            <w:r w:rsidRPr="00BF4677">
              <w:t>It includes working safely, identifying hazards and applying mitigation strategies, complying with relevant regulations, applying workplace policies and procedures, and applying relevant environmenta</w:t>
            </w:r>
            <w:r w:rsidRPr="00BF4677">
              <w:t>l protection requirements.</w:t>
            </w:r>
          </w:p>
          <w:p w:rsidR="00000000" w:rsidRPr="00BF4677" w:rsidP="00BF4677">
            <w:pPr>
              <w:pStyle w:val="BodyText"/>
            </w:pPr>
            <w:r w:rsidRPr="00BF4677">
              <w:t>The unit applies to work at sites which store and dispense diesel and motor spirit (petrol), including ethanol blends. It excludes major hazard facilities and bulk transfer terminals.</w:t>
            </w:r>
          </w:p>
          <w:p w:rsidR="00000000" w:rsidRPr="00BF4677" w:rsidP="00BF4677">
            <w:pPr>
              <w:pStyle w:val="BodyText"/>
            </w:pPr>
            <w:r w:rsidRPr="00BF4677">
              <w:t>This unit is appropriate for any contractor w</w:t>
            </w:r>
            <w:r w:rsidRPr="00BF4677">
              <w:t>orking on or near fuel storage and dispensing infrastructure. Work is performed under some supervision generally within a team environment</w:t>
            </w:r>
          </w:p>
          <w:p w:rsidR="00000000" w:rsidRPr="00BF4677" w:rsidP="00BF4677">
            <w:pPr>
              <w:pStyle w:val="BodyText"/>
            </w:pPr>
            <w:r w:rsidRPr="00BF4677">
              <w:t>Licensing, legislative or certification requirements that apply to this unit may vary between jurisdictions and shoul</w:t>
            </w:r>
            <w:r w:rsidRPr="00BF4677">
              <w:t>d be checked prior to commencing the unit.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3" w:name="O_1121553"/>
      <w:bookmarkEnd w:id="3"/>
      <w:r w:rsidRPr="00BF46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Not applicable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4" w:name="O_1121554"/>
      <w:bookmarkEnd w:id="4"/>
      <w:r w:rsidRPr="00BF46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Not applicable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5" w:name="O_1121555"/>
      <w:bookmarkEnd w:id="5"/>
      <w:r w:rsidRPr="00BF46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Not applicable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6" w:name="O_1121556"/>
      <w:bookmarkEnd w:id="6"/>
      <w:r w:rsidRPr="00BF46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"/>
        <w:gridCol w:w="2898"/>
        <w:gridCol w:w="702"/>
        <w:gridCol w:w="5628"/>
      </w:tblGrid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PERFORMANCE CRITERIA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Performance criteria describe the performance needed to demonstrate achievement of the element.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1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Plan to work at a site where fuel is stored and dispensed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Work instructions are accessed, interpreted and clarified with relevant people in accordance with workplace procedures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Workplace documentation, site-specific requirements, industry standards and regulatory requirements are accessed and interpreted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Site conditions are determined, evaluated and accommodated in work plan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Authorisations, licences or permits required for work are identified and obtained by relevant personnel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Tools, equipment and personal protective equipment (PPE) required for work plan are identified and arranged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Individual competency is reviewed against job requirements and any required support identified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2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Prepare to work at a site where fuel is sto</w:t>
            </w:r>
            <w:r w:rsidRPr="00BF4677">
              <w:rPr>
                <w:rStyle w:val="SpecialBold"/>
              </w:rPr>
              <w:t>red and dispensed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Work requirements are confirmed, and activities coordinated with site supervisor and others at the site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Site safety, emergency response and first aid procedures are identified and implemented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Site is inspected, risks assessed, and controls determined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Worksite is set up and all required pre-work tests and checks are conducted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3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Work at a site where fuel is stored and dispensed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Risk controls, safety measures and monitoring requirements are implemented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Work is conducted in accordance with permit or authorisation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Work is conducted in accordance with work instructions, specifications, industry standards and codes of practice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Changes in site conditions are monitored and responded to as required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4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rPr>
                <w:rStyle w:val="SpecialBold"/>
              </w:rPr>
              <w:t>Complete work at a site where fuel is stored and dispensed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Post-work checks and testing are completed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Post-work housekeeping is completed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t>Post-work documentation and reporting is completed</w:t>
            </w:r>
          </w:p>
        </w:tc>
      </w:tr>
      <w:tr w:rsidTr="00BF4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77">
            <w:pPr>
              <w:pStyle w:val="BodyText"/>
              <w:rPr>
                <w:lang w:val="en-NZ"/>
              </w:rPr>
            </w:pPr>
            <w:r w:rsidRPr="00BF4677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Handover back to site owner is completed</w:t>
            </w:r>
          </w:p>
        </w:tc>
      </w:tr>
    </w:tbl>
    <w:p w:rsidR="00D762B4" w:rsidP="00BF4677">
      <w:pPr>
        <w:pStyle w:val="NoPaddingFontSize1"/>
      </w:pPr>
    </w:p>
    <w:p w:rsidR="00D762B4" w:rsidP="00BF4677">
      <w:pPr>
        <w:pStyle w:val="NoPaddingFontSize1"/>
      </w:pPr>
    </w:p>
    <w:p w:rsidR="00000000" w:rsidRPr="00BF4677" w:rsidP="00BF4677">
      <w:pPr>
        <w:pStyle w:val="Heading1"/>
      </w:pPr>
      <w:bookmarkStart w:id="7" w:name="O_1121557"/>
      <w:bookmarkEnd w:id="7"/>
      <w:r w:rsidRPr="00BF46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Foundation skills essential to performance are explicit in the performance criteria of this unit of competency.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8" w:name="O_1121558"/>
      <w:bookmarkEnd w:id="8"/>
      <w:r w:rsidRPr="00BF46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Range is restricted to essential operating conditions and any other variables essential to the work environment.</w:t>
            </w:r>
          </w:p>
          <w:p w:rsidR="00000000" w:rsidRPr="00BF4677" w:rsidP="00BF4677">
            <w:pPr>
              <w:pStyle w:val="BodyText"/>
            </w:pPr>
            <w:r w:rsidRPr="00BF4677">
              <w:t>Non-essential conditions can be found in TLI Transport and Logistics Training Package Companion Volume Implementation Guide.</w:t>
            </w:r>
          </w:p>
          <w:p w:rsidR="00000000" w:rsidRPr="00BF4677" w:rsidP="00BF4677">
            <w:pPr>
              <w:pStyle w:val="BodyText"/>
            </w:pPr>
            <w:r w:rsidRPr="00BF4677">
              <w:t xml:space="preserve">This unit must be </w:t>
            </w:r>
            <w:r w:rsidRPr="00BF4677">
              <w:t>demonstrated at site/s which store and dispense diesel and motor spirit (petrol), including ethanol blends; excluding major hazard facilities and bulk transfer terminals.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9" w:name="O_1121559"/>
      <w:bookmarkEnd w:id="9"/>
      <w:r w:rsidRPr="00BF46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6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77" w:rsidP="00BF4677">
            <w:pPr>
              <w:pStyle w:val="BodyText"/>
            </w:pPr>
            <w:r w:rsidRPr="00BF4677">
              <w:t>This is a new unit. No equivalent unit.</w:t>
            </w:r>
          </w:p>
        </w:tc>
      </w:tr>
    </w:tbl>
    <w:p w:rsidR="00000000" w:rsidRPr="00BF4677" w:rsidP="00BF4677">
      <w:pPr>
        <w:pStyle w:val="NoPaddingFontSize1"/>
      </w:pPr>
    </w:p>
    <w:p w:rsidR="00000000" w:rsidRPr="00BF4677" w:rsidP="00BF4677">
      <w:pPr>
        <w:pStyle w:val="AllowPageBreak"/>
      </w:pPr>
    </w:p>
    <w:p w:rsidR="00000000" w:rsidRPr="00BF4677" w:rsidP="00BF4677">
      <w:pPr>
        <w:pStyle w:val="Heading1"/>
      </w:pPr>
      <w:bookmarkStart w:id="10" w:name="O_1121566"/>
      <w:bookmarkEnd w:id="10"/>
      <w:r w:rsidRPr="00BF4677">
        <w:t>Links</w:t>
      </w:r>
    </w:p>
    <w:p w:rsidR="00000000" w:rsidRPr="00BF4677" w:rsidP="00D762B4">
      <w:pPr>
        <w:pStyle w:val="BodyText"/>
      </w:pPr>
      <w:r w:rsidRPr="00BF4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64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4677" w:rsidP="00BF4677"/>
    <w:sectPr w:rsidSect="00BF46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77" w:rsidRPr="00D762B4" w:rsidP="00D76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B4" w:rsidP="00BF4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2B4" w:rsidP="00BF4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62B4" w:rsidP="00BF4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677" w:rsidRPr="00D762B4" w:rsidP="00D76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B4" w:rsidRPr="002D2AF8" w:rsidP="00BF4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TLIX0027 Work safely at a fuel storage and dispensing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762B4" w:rsidP="00BF4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677"/>
  </w:style>
  <w:style w:type="character" w:customStyle="1" w:styleId="Heading1Char">
    <w:name w:val="Heading 1 Char"/>
    <w:basedOn w:val="DefaultParagraphFont"/>
    <w:link w:val="Heading1"/>
    <w:rsid w:val="00BF4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6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4677"/>
    <w:rPr>
      <w:b/>
      <w:spacing w:val="0"/>
    </w:rPr>
  </w:style>
  <w:style w:type="paragraph" w:customStyle="1" w:styleId="SuperHeading">
    <w:name w:val="SuperHeading"/>
    <w:basedOn w:val="Normal"/>
    <w:rsid w:val="00BF4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4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6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6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4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6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677"/>
    <w:rPr>
      <w:i/>
    </w:rPr>
  </w:style>
  <w:style w:type="paragraph" w:styleId="Caption">
    <w:name w:val="caption"/>
    <w:basedOn w:val="BodyText"/>
    <w:next w:val="Normal"/>
    <w:qFormat/>
    <w:rsid w:val="00BF4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677"/>
  </w:style>
  <w:style w:type="paragraph" w:styleId="TableofFigures">
    <w:name w:val="table of figures"/>
    <w:basedOn w:val="Normal"/>
    <w:next w:val="Normal"/>
    <w:semiHidden/>
    <w:rsid w:val="00BF4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6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4677"/>
    <w:rPr>
      <w:rFonts w:ascii="Wingdings" w:hAnsi="Wingdings"/>
    </w:rPr>
  </w:style>
  <w:style w:type="paragraph" w:customStyle="1" w:styleId="TableHeading">
    <w:name w:val="Table Heading"/>
    <w:basedOn w:val="HeadingBase"/>
    <w:rsid w:val="00BF4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677"/>
    <w:rPr>
      <w:color w:val="0033CC"/>
      <w:u w:val="none"/>
    </w:rPr>
  </w:style>
  <w:style w:type="paragraph" w:customStyle="1" w:styleId="BodyTextRight">
    <w:name w:val="Body Text Right"/>
    <w:basedOn w:val="BodyText"/>
    <w:rsid w:val="00BF4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6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677"/>
    <w:rPr>
      <w:sz w:val="32"/>
    </w:rPr>
  </w:style>
  <w:style w:type="paragraph" w:customStyle="1" w:styleId="HeadingProcedure">
    <w:name w:val="Heading Procedure"/>
    <w:basedOn w:val="HeadingBase"/>
    <w:next w:val="Normal"/>
    <w:rsid w:val="00BF4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677"/>
    <w:pPr>
      <w:spacing w:before="60" w:after="60"/>
    </w:pPr>
  </w:style>
  <w:style w:type="paragraph" w:styleId="ListContinue">
    <w:name w:val="List Continue"/>
    <w:basedOn w:val="List"/>
    <w:rsid w:val="00BF4677"/>
    <w:pPr>
      <w:ind w:firstLine="0"/>
    </w:pPr>
  </w:style>
  <w:style w:type="paragraph" w:customStyle="1" w:styleId="ListNote">
    <w:name w:val="List Note"/>
    <w:basedOn w:val="List"/>
    <w:rsid w:val="00BF4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677"/>
    <w:rPr>
      <w:rFonts w:ascii="Courier New" w:hAnsi="Courier New"/>
    </w:rPr>
  </w:style>
  <w:style w:type="paragraph" w:customStyle="1" w:styleId="NoteBullet">
    <w:name w:val="Note Bullet"/>
    <w:basedOn w:val="Note"/>
    <w:rsid w:val="00BF4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6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4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677"/>
    <w:rPr>
      <w:b/>
      <w:smallCaps/>
    </w:rPr>
  </w:style>
  <w:style w:type="paragraph" w:customStyle="1" w:styleId="TableListNumber">
    <w:name w:val="Table List Number"/>
    <w:basedOn w:val="ListNumber"/>
    <w:rsid w:val="00BF4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677"/>
    <w:pPr>
      <w:numPr>
        <w:numId w:val="7"/>
      </w:numPr>
    </w:pPr>
  </w:style>
  <w:style w:type="paragraph" w:customStyle="1" w:styleId="ListAlpha2">
    <w:name w:val="List Alpha 2"/>
    <w:basedOn w:val="List2"/>
    <w:rsid w:val="00BF4677"/>
    <w:pPr>
      <w:numPr>
        <w:numId w:val="6"/>
      </w:numPr>
    </w:pPr>
  </w:style>
  <w:style w:type="paragraph" w:styleId="List2">
    <w:name w:val="List 2"/>
    <w:basedOn w:val="BodyText"/>
    <w:rsid w:val="00BF4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6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6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4677"/>
    <w:pPr>
      <w:numPr>
        <w:numId w:val="2"/>
      </w:numPr>
    </w:pPr>
  </w:style>
  <w:style w:type="paragraph" w:styleId="ListContinue2">
    <w:name w:val="List Continue 2"/>
    <w:basedOn w:val="List2"/>
    <w:rsid w:val="00BF4677"/>
    <w:pPr>
      <w:ind w:firstLine="0"/>
    </w:pPr>
  </w:style>
  <w:style w:type="paragraph" w:styleId="ListContinue3">
    <w:name w:val="List Continue 3"/>
    <w:basedOn w:val="List3"/>
    <w:rsid w:val="00BF4677"/>
    <w:pPr>
      <w:ind w:left="1021" w:firstLine="0"/>
    </w:pPr>
  </w:style>
  <w:style w:type="paragraph" w:styleId="ListContinue4">
    <w:name w:val="List Continue 4"/>
    <w:basedOn w:val="List4"/>
    <w:rsid w:val="00BF4677"/>
    <w:pPr>
      <w:ind w:firstLine="0"/>
    </w:pPr>
  </w:style>
  <w:style w:type="paragraph" w:styleId="ListContinue5">
    <w:name w:val="List Continue 5"/>
    <w:basedOn w:val="List5"/>
    <w:rsid w:val="00BF4677"/>
    <w:pPr>
      <w:ind w:firstLine="0"/>
    </w:pPr>
  </w:style>
  <w:style w:type="paragraph" w:styleId="ListNumber3">
    <w:name w:val="List Number 3"/>
    <w:basedOn w:val="List3"/>
    <w:rsid w:val="00BF4677"/>
    <w:pPr>
      <w:numPr>
        <w:numId w:val="3"/>
      </w:numPr>
    </w:pPr>
  </w:style>
  <w:style w:type="paragraph" w:styleId="ListNumber4">
    <w:name w:val="List Number 4"/>
    <w:basedOn w:val="List4"/>
    <w:rsid w:val="00BF4677"/>
    <w:pPr>
      <w:numPr>
        <w:numId w:val="4"/>
      </w:numPr>
    </w:pPr>
  </w:style>
  <w:style w:type="paragraph" w:styleId="ListNumber5">
    <w:name w:val="List Number 5"/>
    <w:basedOn w:val="List5"/>
    <w:rsid w:val="00BF4677"/>
    <w:pPr>
      <w:numPr>
        <w:numId w:val="5"/>
      </w:numPr>
    </w:pPr>
  </w:style>
  <w:style w:type="paragraph" w:styleId="BlockText">
    <w:name w:val="Block Text"/>
    <w:basedOn w:val="Normal"/>
    <w:rsid w:val="00BF4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677"/>
    <w:rPr>
      <w:sz w:val="16"/>
      <w:vertAlign w:val="superscript"/>
    </w:rPr>
  </w:style>
  <w:style w:type="character" w:customStyle="1" w:styleId="Symbols">
    <w:name w:val="Symbols"/>
    <w:basedOn w:val="DefaultParagraphFont"/>
    <w:rsid w:val="00BF4677"/>
    <w:rPr>
      <w:rFonts w:ascii="Symbol" w:hAnsi="Symbol"/>
    </w:rPr>
  </w:style>
  <w:style w:type="character" w:customStyle="1" w:styleId="MenuOptions">
    <w:name w:val="Menu Options"/>
    <w:basedOn w:val="DefaultParagraphFont"/>
    <w:rsid w:val="00BF4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677"/>
    <w:rPr>
      <w:b/>
    </w:rPr>
  </w:style>
  <w:style w:type="character" w:customStyle="1" w:styleId="Underlined">
    <w:name w:val="Underlined"/>
    <w:basedOn w:val="DefaultParagraphFont"/>
    <w:rsid w:val="00BF4677"/>
    <w:rPr>
      <w:u w:val="single"/>
    </w:rPr>
  </w:style>
  <w:style w:type="paragraph" w:customStyle="1" w:styleId="TableBodyTextRight">
    <w:name w:val="Table Body Text Right"/>
    <w:basedOn w:val="TableBodyText"/>
    <w:rsid w:val="00BF4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677"/>
    <w:rPr>
      <w:sz w:val="18"/>
    </w:rPr>
  </w:style>
  <w:style w:type="paragraph" w:customStyle="1" w:styleId="BodySmallRight">
    <w:name w:val="Body Small Right"/>
    <w:basedOn w:val="BodyTextRight"/>
    <w:rsid w:val="00BF4677"/>
    <w:rPr>
      <w:sz w:val="18"/>
      <w:szCs w:val="18"/>
    </w:rPr>
  </w:style>
  <w:style w:type="paragraph" w:customStyle="1" w:styleId="MarginEdition">
    <w:name w:val="Margin Edition"/>
    <w:basedOn w:val="MarginNote"/>
    <w:rsid w:val="00BF4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677"/>
    <w:rPr>
      <w:sz w:val="2"/>
      <w:szCs w:val="2"/>
    </w:rPr>
  </w:style>
  <w:style w:type="character" w:customStyle="1" w:styleId="Small">
    <w:name w:val="Small"/>
    <w:basedOn w:val="DefaultParagraphFont"/>
    <w:rsid w:val="00BF4677"/>
    <w:rPr>
      <w:sz w:val="16"/>
    </w:rPr>
  </w:style>
  <w:style w:type="paragraph" w:customStyle="1" w:styleId="WideTable">
    <w:name w:val="Wide Table"/>
    <w:basedOn w:val="Normal"/>
    <w:rsid w:val="00BF4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677"/>
  </w:style>
  <w:style w:type="paragraph" w:styleId="Quote">
    <w:name w:val="Quote"/>
    <w:basedOn w:val="Heading1"/>
    <w:link w:val="QuoteChar"/>
    <w:qFormat/>
    <w:rsid w:val="00BF4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677"/>
    <w:pPr>
      <w:pageBreakBefore/>
    </w:pPr>
  </w:style>
  <w:style w:type="paragraph" w:customStyle="1" w:styleId="Border">
    <w:name w:val="Border"/>
    <w:basedOn w:val="Normal"/>
    <w:qFormat/>
    <w:rsid w:val="00BF4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677"/>
    <w:rPr>
      <w:u w:val="single"/>
    </w:rPr>
  </w:style>
  <w:style w:type="character" w:customStyle="1" w:styleId="BoldandItalics">
    <w:name w:val="Bold and Italics"/>
    <w:qFormat/>
    <w:rsid w:val="00BF4677"/>
    <w:rPr>
      <w:b/>
      <w:i/>
      <w:u w:val="none"/>
    </w:rPr>
  </w:style>
  <w:style w:type="paragraph" w:styleId="BalloonText">
    <w:name w:val="Balloon Text"/>
    <w:basedOn w:val="Normal"/>
    <w:link w:val="BalloonTextChar"/>
    <w:rsid w:val="00BF4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677"/>
    <w:pPr>
      <w:spacing w:before="0" w:after="0"/>
    </w:pPr>
  </w:style>
  <w:style w:type="paragraph" w:customStyle="1" w:styleId="BodyTextBold">
    <w:name w:val="Body Text Bold"/>
    <w:basedOn w:val="BodyText"/>
    <w:qFormat/>
    <w:rsid w:val="00BF4677"/>
    <w:rPr>
      <w:b/>
    </w:rPr>
  </w:style>
  <w:style w:type="character" w:styleId="Hyperlink">
    <w:name w:val="Hyperlink"/>
    <w:basedOn w:val="DefaultParagraphFont"/>
    <w:uiPriority w:val="99"/>
    <w:unhideWhenUsed/>
    <w:rsid w:val="00D76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3642</Characters>
  <Application>Microsoft Office Word</Application>
  <DocSecurity>0</DocSecurity>
  <Lines>173</Lines>
  <Paragraphs>92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TLIX0027 Work safely at a fuel storage and dispensing 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