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291" w:rsidP="006C7291">
      <w:pPr>
        <w:pStyle w:val="Title"/>
      </w:pPr>
      <w:r>
        <w:fldChar w:fldCharType="begin"/>
      </w:r>
      <w:r>
        <w:instrText xml:space="preserve"> TITLE   \* MERGEFORMAT </w:instrText>
      </w:r>
      <w:r>
        <w:fldChar w:fldCharType="separate"/>
      </w:r>
      <w:r>
        <w:t>TLIX0027 Work safely at a fuel storage and dispensing site</w:t>
      </w:r>
      <w:r>
        <w:fldChar w:fldCharType="end"/>
      </w:r>
    </w:p>
    <w:p w:rsidR="006C7291" w:rsidP="006C7291">
      <w:pPr>
        <w:pStyle w:val="Version"/>
        <w:sectPr w:rsidSect="003B5B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B78" w:rsidP="003B5B78">
      <w:pPr>
        <w:pStyle w:val="SuperHeading"/>
      </w:pPr>
      <w:r w:rsidRPr="003B5B78">
        <w:t>TLIX0027 Work safely at a fuel storage and dispensing site</w:t>
      </w:r>
    </w:p>
    <w:p w:rsidR="00000000" w:rsidRPr="003B5B78" w:rsidP="003B5B78">
      <w:pPr>
        <w:pStyle w:val="Heading1"/>
      </w:pPr>
      <w:bookmarkStart w:id="1" w:name="O_1121551"/>
      <w:bookmarkEnd w:id="1"/>
      <w:r w:rsidRPr="003B5B78">
        <w:t>Modification History</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Release 1. This is the first release of this unit of competency in the TLI Transport and Logistics Training Package.</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2" w:name="O_1121552"/>
      <w:bookmarkEnd w:id="2"/>
      <w:r w:rsidRPr="003B5B78">
        <w:t>Application</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This unit relates to the minimum safety requirements for contractor</w:t>
            </w:r>
            <w:r w:rsidRPr="003B5B78">
              <w:t>s working on or near a fuel storage and dispensing site.</w:t>
            </w:r>
          </w:p>
          <w:p w:rsidR="00000000" w:rsidRPr="003B5B78" w:rsidP="003B5B78">
            <w:pPr>
              <w:pStyle w:val="BodyText"/>
            </w:pPr>
            <w:r w:rsidRPr="003B5B78">
              <w:t>It includes working safely, identifying hazards and applying mitigation strategies, complying with relevant regulations, applying workplace policies and procedures, and applying relevant environmenta</w:t>
            </w:r>
            <w:r w:rsidRPr="003B5B78">
              <w:t>l protection requirements.</w:t>
            </w:r>
          </w:p>
          <w:p w:rsidR="00000000" w:rsidRPr="003B5B78" w:rsidP="003B5B78">
            <w:pPr>
              <w:pStyle w:val="BodyText"/>
            </w:pPr>
            <w:r w:rsidRPr="003B5B78">
              <w:t>The unit applies to work at sites which store and dispense diesel and motor spirit (petrol), including ethanol blends. It excludes major hazard facilities and bulk transfer terminals.</w:t>
            </w:r>
          </w:p>
          <w:p w:rsidR="00000000" w:rsidRPr="003B5B78" w:rsidP="003B5B78">
            <w:pPr>
              <w:pStyle w:val="BodyText"/>
            </w:pPr>
            <w:r w:rsidRPr="003B5B78">
              <w:t>This unit is appropriate for any contractor w</w:t>
            </w:r>
            <w:r w:rsidRPr="003B5B78">
              <w:t>orking on or near fuel storage and dispensing infrastructure. Work is performed under some supervision generally within a team environment</w:t>
            </w:r>
          </w:p>
          <w:p w:rsidR="00000000" w:rsidRPr="003B5B78" w:rsidP="003B5B78">
            <w:pPr>
              <w:pStyle w:val="BodyText"/>
            </w:pPr>
            <w:r w:rsidRPr="003B5B78">
              <w:t>Licensing, legislative or certification requirements that apply to this unit may vary between jurisdictions and shoul</w:t>
            </w:r>
            <w:r w:rsidRPr="003B5B78">
              <w:t>d be checked prior to commencing the unit.</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3" w:name="O_1121553"/>
      <w:bookmarkEnd w:id="3"/>
      <w:r w:rsidRPr="003B5B78">
        <w:t>Pre-requisite Unit</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Not applicable</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4" w:name="O_1121554"/>
      <w:bookmarkEnd w:id="4"/>
      <w:r w:rsidRPr="003B5B78">
        <w:t>Competency Field</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Not applicable</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5" w:name="O_1121555"/>
      <w:bookmarkEnd w:id="5"/>
      <w:r w:rsidRPr="003B5B78">
        <w:t>Unit Sector</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Not applicable</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6" w:name="O_1121556"/>
      <w:bookmarkEnd w:id="6"/>
      <w:r w:rsidRPr="003B5B78">
        <w:t>Elements and Performance Criteria</w:t>
      </w:r>
    </w:p>
    <w:tbl>
      <w:tblPr>
        <w:tblW w:w="9498" w:type="dxa"/>
        <w:tblLayout w:type="fixed"/>
        <w:tblCellMar>
          <w:left w:w="62" w:type="dxa"/>
          <w:right w:w="62" w:type="dxa"/>
        </w:tblCellMar>
        <w:tblLook w:val="0000"/>
      </w:tblPr>
      <w:tblGrid>
        <w:gridCol w:w="270"/>
        <w:gridCol w:w="2898"/>
        <w:gridCol w:w="702"/>
        <w:gridCol w:w="5628"/>
      </w:tblGrid>
      <w:tr w:rsidTr="003B5B7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PERFORMANCE CRITERIA</w:t>
            </w:r>
          </w:p>
        </w:tc>
      </w:tr>
      <w:tr w:rsidTr="003B5B7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Performance criteria describe the performance needed to demonstrate achievement of the element.</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rPr>
                <w:rStyle w:val="SpecialBold"/>
              </w:rPr>
              <w:t>1</w:t>
            </w:r>
          </w:p>
        </w:tc>
        <w:tc>
          <w:tcPr>
            <w:tcW w:w="2898"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rPr>
                <w:rStyle w:val="SpecialBold"/>
              </w:rPr>
              <w:t>Plan to work at a site where fuel is stored and dispensed</w:t>
            </w: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Work instructions are accessed, interpreted and clarified with relevant people in accordance with workplace procedures</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Workplace documentation, site-specific requirements, industry standards and regulatory requirements are accessed and interpreted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Site conditions are determined, evaluated and accommodated in work plan</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Authorisations, licences or permits required for work are identified and obtained by relevant personnel</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Tools, equipment and personal protective equipment (PPE) req</w:t>
            </w:r>
            <w:r w:rsidRPr="003B5B78">
              <w:t>uired for work plan are identified and arranged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Individual competency is reviewed against job requirements and any required support identified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rPr>
                <w:rStyle w:val="SpecialBold"/>
              </w:rPr>
              <w:t>2</w:t>
            </w:r>
          </w:p>
        </w:tc>
        <w:tc>
          <w:tcPr>
            <w:tcW w:w="2898"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rPr>
                <w:rStyle w:val="SpecialBold"/>
              </w:rPr>
              <w:t>Prepare to work at a site where fuel is stored and dispensed</w:t>
            </w: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Work requirements are confirmed, and activities coordinated with site supervisor and others at the site</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Site safety, emergency response and first aid procedures are identified and implemented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Site is inspected, risks assessed, and controls de</w:t>
            </w:r>
            <w:r w:rsidRPr="003B5B78">
              <w:t>termined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Worksite is set up and all required pre-work tests and checks are conducted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rPr>
                <w:rStyle w:val="SpecialBold"/>
              </w:rPr>
              <w:t>3</w:t>
            </w:r>
          </w:p>
        </w:tc>
        <w:tc>
          <w:tcPr>
            <w:tcW w:w="2898"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rPr>
                <w:rStyle w:val="SpecialBold"/>
              </w:rPr>
              <w:t>Work at a site where fuel is stored and dispensed</w:t>
            </w: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Risk controls, safety measures and monitoring requirements are implemented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Work is conducted in accordance with permit or authorisation</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Work is conducted in accordance with work instructions, specifications, industry standards and codes of practice</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Changes in site conditions are monitored and responded to as require</w:t>
            </w:r>
            <w:r w:rsidRPr="003B5B78">
              <w:t>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rPr>
                <w:rStyle w:val="SpecialBold"/>
              </w:rPr>
              <w:t>4</w:t>
            </w:r>
          </w:p>
        </w:tc>
        <w:tc>
          <w:tcPr>
            <w:tcW w:w="2898"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rPr>
                <w:rStyle w:val="SpecialBold"/>
              </w:rPr>
              <w:t>Complete work at a site where fuel is stored and dispensed</w:t>
            </w: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Post-work checks and testing are completed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Post-work housekeeping is completed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Post-work documentation and reporting is completed</w:t>
            </w:r>
          </w:p>
        </w:tc>
      </w:tr>
      <w:tr w:rsidTr="003B5B78">
        <w:tblPrEx>
          <w:tblW w:w="9498" w:type="dxa"/>
          <w:tblLayout w:type="fixed"/>
          <w:tblCellMar>
            <w:left w:w="62" w:type="dxa"/>
            <w:right w:w="62" w:type="dxa"/>
          </w:tblCellMar>
          <w:tblLook w:val="0000"/>
        </w:tblPrEx>
        <w:trPr>
          <w:trHeight w:val="497"/>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8" w:type="dxa"/>
            <w:tcBorders>
              <w:top w:val="nil"/>
              <w:left w:val="nil"/>
              <w:bottom w:val="nil"/>
              <w:right w:val="nil"/>
            </w:tcBorders>
            <w:tcMar>
              <w:top w:w="0" w:type="dxa"/>
              <w:left w:w="62" w:type="dxa"/>
              <w:bottom w:w="0" w:type="dxa"/>
              <w:right w:w="62" w:type="dxa"/>
            </w:tcMar>
          </w:tcPr>
          <w:p w:rsidR="00000000" w:rsidRPr="003B5B7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Handover back to site owner is completed</w:t>
            </w:r>
          </w:p>
        </w:tc>
      </w:tr>
    </w:tbl>
    <w:p w:rsidR="006C7291" w:rsidP="003B5B78">
      <w:pPr>
        <w:pStyle w:val="NoPaddingFontSize1"/>
      </w:pPr>
    </w:p>
    <w:p w:rsidR="006C7291" w:rsidP="003B5B78">
      <w:pPr>
        <w:pStyle w:val="NoPaddingFontSize1"/>
      </w:pPr>
    </w:p>
    <w:p w:rsidR="00000000" w:rsidRPr="003B5B78" w:rsidP="003B5B78">
      <w:pPr>
        <w:pStyle w:val="Heading1"/>
      </w:pPr>
      <w:bookmarkStart w:id="7" w:name="O_1121557"/>
      <w:bookmarkEnd w:id="7"/>
      <w:r w:rsidRPr="003B5B78">
        <w:t>Foundation Skills</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Foundation skills essential to performance are explicit in the performance criteria of this unit of competency.</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8" w:name="O_1121558"/>
      <w:bookmarkEnd w:id="8"/>
      <w:r w:rsidRPr="003B5B78">
        <w:t>Range of Conditions</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Range is restricted to essential operating conditions and any other variables essential to the work environment.</w:t>
            </w:r>
          </w:p>
          <w:p w:rsidR="00000000" w:rsidRPr="003B5B78" w:rsidP="003B5B78">
            <w:pPr>
              <w:pStyle w:val="BodyText"/>
            </w:pPr>
            <w:r w:rsidRPr="003B5B78">
              <w:t>Non-essential conditions can be found in TLI Transport and Logistics Training Package Companion Volume Implementation Guide.</w:t>
            </w:r>
          </w:p>
          <w:p w:rsidR="00000000" w:rsidRPr="003B5B78" w:rsidP="003B5B78">
            <w:pPr>
              <w:pStyle w:val="BodyText"/>
            </w:pPr>
            <w:r w:rsidRPr="003B5B78">
              <w:t xml:space="preserve">This unit must be </w:t>
            </w:r>
            <w:r w:rsidRPr="003B5B78">
              <w:t>demonstrated at site/s which store and dispense diesel and motor spirit (petrol), including ethanol blends; excluding major hazard facilities and bulk transfer terminals.</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9" w:name="O_1121559"/>
      <w:bookmarkEnd w:id="9"/>
      <w:r w:rsidRPr="003B5B78">
        <w:t>Unit Mapping Information</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This is a new unit. No equivalent unit.</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10" w:name="O_1121566"/>
      <w:bookmarkEnd w:id="10"/>
      <w:r w:rsidRPr="003B5B78">
        <w:t>Links</w:t>
      </w:r>
    </w:p>
    <w:p w:rsidR="00000000" w:rsidRPr="003B5B78" w:rsidP="006C7291">
      <w:pPr>
        <w:pStyle w:val="BodyText"/>
      </w:pPr>
      <w:r w:rsidRPr="003B5B7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A4855">
        <w:rPr>
          <w:rStyle w:val="Hyperlink"/>
        </w:rPr>
        <w:t>https://vetnet.gov.au/Pages/TrainingDocs.aspx?q=df441c6e-213d-43e3-874c-0b3f7036d851</w:t>
      </w:r>
      <w:r>
        <w:fldChar w:fldCharType="end"/>
      </w:r>
    </w:p>
    <w:p w:rsidR="00000000" w:rsidRPr="003B5B78" w:rsidP="006C7291">
      <w:pPr>
        <w:pStyle w:val="BodyText"/>
        <w:sectPr w:rsidSect="003B5B78">
          <w:headerReference w:type="default" r:id="rId10"/>
          <w:footerReference w:type="default" r:id="rId11"/>
          <w:pgSz w:w="11908" w:h="16833"/>
          <w:pgMar w:top="1702" w:right="1418" w:bottom="1702" w:left="1418" w:header="992" w:footer="992" w:gutter="0"/>
          <w:cols w:space="720"/>
          <w:noEndnote/>
          <w:docGrid w:linePitch="299"/>
        </w:sectPr>
      </w:pPr>
    </w:p>
    <w:p w:rsidR="00000000" w:rsidRPr="003B5B78" w:rsidP="003B5B78">
      <w:pPr>
        <w:pStyle w:val="SuperHeading"/>
      </w:pPr>
      <w:r w:rsidRPr="003B5B78">
        <w:t>Assessment Requirements for TLIX002</w:t>
      </w:r>
      <w:r w:rsidRPr="003B5B78">
        <w:t>7 Work safely at a fuel storage and dispensing site</w:t>
      </w:r>
    </w:p>
    <w:p w:rsidR="00000000" w:rsidRPr="003B5B78" w:rsidP="003B5B78">
      <w:pPr>
        <w:pStyle w:val="Heading1"/>
      </w:pPr>
      <w:bookmarkStart w:id="11" w:name="O_1121561"/>
      <w:bookmarkEnd w:id="11"/>
      <w:r w:rsidRPr="003B5B78">
        <w:t>Modification History</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Release 1. This is the first release of this unit of competency in the TLI Transport and Logistics Training Package.</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12" w:name="O_1121562"/>
      <w:bookmarkEnd w:id="12"/>
      <w:r w:rsidRPr="003B5B78">
        <w:t>Performance Evidence</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 xml:space="preserve">Evidence required to demonstrate competence in this unit must be relevant to and satisfy all of the requirements of the elements, performance criteria and range of conditions on at least two separate occasions and include: </w:t>
            </w:r>
          </w:p>
        </w:tc>
      </w:tr>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ListBullet"/>
            </w:pPr>
            <w:r w:rsidRPr="003B5B78">
              <w:t>communicating with relevant pe</w:t>
            </w:r>
            <w:r w:rsidRPr="003B5B78">
              <w:t>rsonnel to obtain and confirm work requirements, and coordinate work</w:t>
            </w:r>
          </w:p>
          <w:p w:rsidR="00000000" w:rsidRPr="003B5B78" w:rsidP="003B5B78">
            <w:pPr>
              <w:pStyle w:val="ListBullet"/>
            </w:pPr>
            <w:r w:rsidRPr="003B5B78">
              <w:t>identifying, locating and interpreting relevant information to ensure work plan meets requirements and is compliant with industry standards, codes of practice and regulations</w:t>
            </w:r>
          </w:p>
          <w:p w:rsidR="00000000" w:rsidRPr="003B5B78" w:rsidP="003B5B78">
            <w:pPr>
              <w:pStyle w:val="ListBullet"/>
            </w:pPr>
            <w:r w:rsidRPr="003B5B78">
              <w:t xml:space="preserve">identifying </w:t>
            </w:r>
            <w:r w:rsidRPr="003B5B78">
              <w:t>and implementing relevant workplace procedures and safety requirements</w:t>
            </w:r>
          </w:p>
          <w:p w:rsidR="00000000" w:rsidRPr="003B5B78" w:rsidP="003B5B78">
            <w:pPr>
              <w:pStyle w:val="ListBullet"/>
            </w:pPr>
            <w:r w:rsidRPr="003B5B78">
              <w:t>reviewing site conditions, assessing risks and implementing and monitoring controls</w:t>
            </w:r>
          </w:p>
          <w:p w:rsidR="00000000" w:rsidRPr="003B5B78" w:rsidP="003B5B78">
            <w:pPr>
              <w:pStyle w:val="ListBullet"/>
            </w:pPr>
            <w:r w:rsidRPr="003B5B78">
              <w:t>identifying the location, function and procedures for use of Emergency Stop Buttons</w:t>
            </w:r>
          </w:p>
          <w:p w:rsidR="00000000" w:rsidRPr="003B5B78" w:rsidP="003B5B78">
            <w:pPr>
              <w:pStyle w:val="ListBullet"/>
            </w:pPr>
            <w:r w:rsidRPr="003B5B78">
              <w:t>obtaining required authorisations and/or permits</w:t>
            </w:r>
          </w:p>
          <w:p w:rsidR="00000000" w:rsidRPr="003B5B78" w:rsidP="003B5B78">
            <w:pPr>
              <w:pStyle w:val="ListBullet"/>
            </w:pPr>
            <w:r w:rsidRPr="003B5B78">
              <w:t>reviewing individual competency against job requirements to determine any support required identified</w:t>
            </w:r>
          </w:p>
          <w:p w:rsidR="00000000" w:rsidRPr="003B5B78" w:rsidP="003B5B78">
            <w:pPr>
              <w:pStyle w:val="ListBullet"/>
            </w:pPr>
            <w:r w:rsidRPr="003B5B78">
              <w:t>arranging, transporting, checking and setting up required tools and equipment in accordance with workplac</w:t>
            </w:r>
            <w:r w:rsidRPr="003B5B78">
              <w:t>e procedures</w:t>
            </w:r>
          </w:p>
          <w:p w:rsidR="00000000" w:rsidRPr="003B5B78" w:rsidP="003B5B78">
            <w:pPr>
              <w:pStyle w:val="ListBullet"/>
            </w:pPr>
            <w:r w:rsidRPr="003B5B78">
              <w:t>undertaking work in accordance with manufacturer/supplier specifications and site requirements</w:t>
            </w:r>
          </w:p>
          <w:p w:rsidR="00000000" w:rsidRPr="003B5B78" w:rsidP="003B5B78">
            <w:pPr>
              <w:pStyle w:val="ListBullet"/>
            </w:pPr>
            <w:r w:rsidRPr="003B5B78">
              <w:t>checking for potential environmental hazards and risks and implementing controls.</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13" w:name="O_1121563"/>
      <w:bookmarkEnd w:id="13"/>
      <w:r w:rsidRPr="003B5B78">
        <w:t>Knowledge Evidence</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5B78">
            <w:pPr>
              <w:pStyle w:val="BodyText"/>
              <w:rPr>
                <w:lang w:val="en-NZ"/>
              </w:rPr>
            </w:pPr>
            <w:r w:rsidRPr="003B5B78">
              <w:t xml:space="preserve">Evidence required to demonstrate competence in this unit must be relevant to and satisfy all of the requirements of the elements, performance criteria and range of conditions and include knowledge of: </w:t>
            </w:r>
          </w:p>
        </w:tc>
      </w:tr>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ListBullet"/>
            </w:pPr>
            <w:r w:rsidRPr="003B5B78">
              <w:t>relevant organisational, workplace and industry docu</w:t>
            </w:r>
            <w:r w:rsidRPr="003B5B78">
              <w:t>mentation</w:t>
            </w:r>
          </w:p>
          <w:p w:rsidR="00000000" w:rsidRPr="003B5B78" w:rsidP="003B5B78">
            <w:pPr>
              <w:pStyle w:val="ListBullet"/>
            </w:pPr>
            <w:r w:rsidRPr="003B5B78">
              <w:t>relevant industry standards and codes of practice, and their application</w:t>
            </w:r>
          </w:p>
          <w:p w:rsidR="00000000" w:rsidRPr="003B5B78" w:rsidP="003B5B78">
            <w:pPr>
              <w:pStyle w:val="ListBullet"/>
            </w:pPr>
            <w:r w:rsidRPr="003B5B78">
              <w:t>relevant industry regulation including permit types</w:t>
            </w:r>
          </w:p>
          <w:p w:rsidR="00000000" w:rsidRPr="003B5B78" w:rsidP="003B5B78">
            <w:pPr>
              <w:pStyle w:val="ListBullet"/>
            </w:pPr>
            <w:r w:rsidRPr="003B5B78">
              <w:t>techniques for monitoring and responding to changing site conditions</w:t>
            </w:r>
          </w:p>
          <w:p w:rsidR="00000000" w:rsidRPr="003B5B78" w:rsidP="003B5B78">
            <w:pPr>
              <w:pStyle w:val="ListBullet"/>
            </w:pPr>
            <w:r w:rsidRPr="003B5B78">
              <w:t>safety requirements, including:</w:t>
            </w:r>
          </w:p>
          <w:p w:rsidR="00000000" w:rsidRPr="003B5B78" w:rsidP="003B5B78">
            <w:pPr>
              <w:pStyle w:val="ListBullet2"/>
            </w:pPr>
            <w:r w:rsidRPr="003B5B78">
              <w:t>first aid and emergency procedures</w:t>
            </w:r>
          </w:p>
          <w:p w:rsidR="00000000" w:rsidRPr="003B5B78" w:rsidP="003B5B78">
            <w:pPr>
              <w:pStyle w:val="ListBullet2"/>
            </w:pPr>
            <w:r w:rsidRPr="003B5B78">
              <w:t>job safety analysis (JSA), safe work procedures (SWP) and safe work method statements (SWMS)</w:t>
            </w:r>
          </w:p>
          <w:p w:rsidR="00000000" w:rsidRPr="003B5B78" w:rsidP="003B5B78">
            <w:pPr>
              <w:pStyle w:val="ListBullet2"/>
            </w:pPr>
            <w:r w:rsidRPr="003B5B78">
              <w:t>measuring risk and assigning risk levels</w:t>
            </w:r>
          </w:p>
          <w:p w:rsidR="00000000" w:rsidRPr="003B5B78" w:rsidP="003B5B78">
            <w:pPr>
              <w:pStyle w:val="ListBullet2"/>
            </w:pPr>
            <w:r w:rsidRPr="003B5B78">
              <w:t>hierarchy of risk control</w:t>
            </w:r>
          </w:p>
          <w:p w:rsidR="00000000" w:rsidRPr="003B5B78" w:rsidP="003B5B78">
            <w:pPr>
              <w:pStyle w:val="ListBullet2"/>
            </w:pPr>
            <w:r w:rsidRPr="003B5B78">
              <w:t>safety data sheets (SDS)/material safety data sheets (MSDS) a</w:t>
            </w:r>
            <w:r w:rsidRPr="003B5B78">
              <w:t>nd hazardous substance registers and their use</w:t>
            </w:r>
          </w:p>
          <w:p w:rsidR="00000000" w:rsidRPr="003B5B78" w:rsidP="003B5B78">
            <w:pPr>
              <w:pStyle w:val="ListBullet2"/>
            </w:pPr>
            <w:r w:rsidRPr="003B5B78">
              <w:t>personal protective equipment (PPE)</w:t>
            </w:r>
          </w:p>
          <w:p w:rsidR="00000000" w:rsidRPr="003B5B78" w:rsidP="003B5B78">
            <w:pPr>
              <w:pStyle w:val="ListBullet"/>
            </w:pPr>
            <w:r w:rsidRPr="003B5B78">
              <w:t>different fuel types and their associated hazards</w:t>
            </w:r>
          </w:p>
          <w:p w:rsidR="00000000" w:rsidRPr="003B5B78" w:rsidP="003B5B78">
            <w:pPr>
              <w:pStyle w:val="ListBullet"/>
            </w:pPr>
            <w:r w:rsidRPr="003B5B78">
              <w:t>fuel and vapour ignition sources</w:t>
            </w:r>
          </w:p>
          <w:p w:rsidR="00000000" w:rsidRPr="003B5B78" w:rsidP="003B5B78">
            <w:pPr>
              <w:pStyle w:val="ListBullet"/>
            </w:pPr>
            <w:r w:rsidRPr="003B5B78">
              <w:t>location, function and use of Emergency Stop Buttons</w:t>
            </w:r>
          </w:p>
          <w:p w:rsidR="00000000" w:rsidRPr="003B5B78" w:rsidP="003B5B78">
            <w:pPr>
              <w:pStyle w:val="ListBullet"/>
            </w:pPr>
            <w:r w:rsidRPr="003B5B78">
              <w:t>fire protection, extinguisher types and their use</w:t>
            </w:r>
          </w:p>
          <w:p w:rsidR="00000000" w:rsidRPr="003B5B78" w:rsidP="003B5B78">
            <w:pPr>
              <w:pStyle w:val="ListBullet"/>
            </w:pPr>
            <w:r w:rsidRPr="003B5B78">
              <w:t>environmental protection and the identification and control of environmental risks</w:t>
            </w:r>
          </w:p>
          <w:p w:rsidR="00000000" w:rsidRPr="003B5B78" w:rsidP="003B5B78">
            <w:pPr>
              <w:pStyle w:val="ListBullet"/>
            </w:pPr>
            <w:r w:rsidRPr="003B5B78">
              <w:t>site-specific hazardous areas/zones and determining minimum distances</w:t>
            </w:r>
          </w:p>
          <w:p w:rsidR="00000000" w:rsidRPr="003B5B78" w:rsidP="003B5B78">
            <w:pPr>
              <w:pStyle w:val="ListBullet"/>
            </w:pPr>
            <w:r w:rsidRPr="003B5B78">
              <w:t>requirements for:</w:t>
            </w:r>
          </w:p>
          <w:p w:rsidR="00000000" w:rsidRPr="003B5B78" w:rsidP="003B5B78">
            <w:pPr>
              <w:pStyle w:val="ListBullet2"/>
            </w:pPr>
            <w:r w:rsidRPr="003B5B78">
              <w:t>working in different weather condi</w:t>
            </w:r>
            <w:r w:rsidRPr="003B5B78">
              <w:t>tions</w:t>
            </w:r>
          </w:p>
          <w:p w:rsidR="00000000" w:rsidRPr="003B5B78" w:rsidP="003B5B78">
            <w:pPr>
              <w:pStyle w:val="ListBullet2"/>
            </w:pPr>
            <w:r w:rsidRPr="003B5B78">
              <w:t>working in confined spaces</w:t>
            </w:r>
          </w:p>
          <w:p w:rsidR="00000000" w:rsidRPr="003B5B78" w:rsidP="003B5B78">
            <w:pPr>
              <w:pStyle w:val="ListBullet2"/>
            </w:pPr>
            <w:r w:rsidRPr="003B5B78">
              <w:t>working at heights</w:t>
            </w:r>
          </w:p>
          <w:p w:rsidR="00000000" w:rsidRPr="003B5B78" w:rsidP="003B5B78">
            <w:pPr>
              <w:pStyle w:val="ListBullet2"/>
            </w:pPr>
            <w:r w:rsidRPr="003B5B78">
              <w:t>traffic management</w:t>
            </w:r>
          </w:p>
          <w:p w:rsidR="00000000" w:rsidRPr="003B5B78" w:rsidP="003B5B78">
            <w:pPr>
              <w:pStyle w:val="ListBullet2"/>
            </w:pPr>
            <w:r w:rsidRPr="003B5B78">
              <w:t>lock-out/tag-out procedures</w:t>
            </w:r>
          </w:p>
          <w:p w:rsidR="00000000" w:rsidRPr="003B5B78" w:rsidP="003B5B78">
            <w:pPr>
              <w:pStyle w:val="ListBullet2"/>
            </w:pPr>
            <w:r w:rsidRPr="003B5B78">
              <w:t>isolations</w:t>
            </w:r>
          </w:p>
          <w:p w:rsidR="00000000" w:rsidRPr="003B5B78" w:rsidP="003B5B78">
            <w:pPr>
              <w:pStyle w:val="ListBullet2"/>
            </w:pPr>
            <w:r w:rsidRPr="003B5B78">
              <w:t>site signage</w:t>
            </w:r>
          </w:p>
          <w:p w:rsidR="00000000" w:rsidRPr="003B5B78" w:rsidP="003B5B78">
            <w:pPr>
              <w:pStyle w:val="ListBullet2"/>
            </w:pPr>
            <w:r w:rsidRPr="003B5B78">
              <w:t>atmosphere testing</w:t>
            </w:r>
          </w:p>
          <w:p w:rsidR="00000000" w:rsidRPr="003B5B78" w:rsidP="003B5B78">
            <w:pPr>
              <w:pStyle w:val="ListBullet2"/>
            </w:pPr>
            <w:r w:rsidRPr="003B5B78">
              <w:t>spill management</w:t>
            </w:r>
          </w:p>
          <w:p w:rsidR="00000000" w:rsidRPr="003B5B78" w:rsidP="003B5B78">
            <w:pPr>
              <w:pStyle w:val="ListBullet2"/>
            </w:pPr>
            <w:r w:rsidRPr="003B5B78">
              <w:t>‘in-date’ inspection tags</w:t>
            </w:r>
          </w:p>
          <w:p w:rsidR="00000000" w:rsidRPr="003B5B78" w:rsidP="003B5B78">
            <w:pPr>
              <w:pStyle w:val="ListBullet2"/>
            </w:pPr>
            <w:r w:rsidRPr="003B5B78">
              <w:t>dealing with local emergency services</w:t>
            </w:r>
          </w:p>
          <w:p w:rsidR="00000000" w:rsidRPr="003B5B78" w:rsidP="003B5B78">
            <w:pPr>
              <w:pStyle w:val="ListBullet2"/>
            </w:pPr>
            <w:r w:rsidRPr="003B5B78">
              <w:t>tool and equipment checks</w:t>
            </w:r>
          </w:p>
          <w:p w:rsidR="00000000" w:rsidRPr="003B5B78" w:rsidP="003B5B78">
            <w:pPr>
              <w:pStyle w:val="ListBullet2"/>
            </w:pPr>
            <w:r w:rsidRPr="003B5B78">
              <w:t>approved contractor certification/licencing</w:t>
            </w:r>
          </w:p>
          <w:p w:rsidR="00000000" w:rsidRPr="003B5B78" w:rsidP="003B5B78">
            <w:pPr>
              <w:pStyle w:val="ListBullet"/>
            </w:pPr>
            <w:r w:rsidRPr="003B5B78">
              <w:t>relevant workplace documentation requirements.</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14" w:name="O_1121564"/>
      <w:bookmarkEnd w:id="14"/>
      <w:r w:rsidRPr="003B5B78">
        <w:t>Assessment Conditions</w:t>
      </w:r>
    </w:p>
    <w:tbl>
      <w:tblPr>
        <w:tblW w:w="9497" w:type="dxa"/>
        <w:tblLayout w:type="fixed"/>
        <w:tblCellMar>
          <w:left w:w="62" w:type="dxa"/>
          <w:right w:w="62" w:type="dxa"/>
        </w:tblCellMar>
        <w:tblLook w:val="0000"/>
      </w:tblPr>
      <w:tblGrid>
        <w:gridCol w:w="9497"/>
      </w:tblGrid>
      <w:tr w:rsidTr="003B5B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B78" w:rsidP="003B5B78">
            <w:pPr>
              <w:pStyle w:val="BodyText"/>
            </w:pPr>
            <w:r w:rsidRPr="003B5B78">
              <w:t xml:space="preserve">Assessors must hold credentials specified within the Standards for Registered Training Organisations current at the time of assessment. </w:t>
            </w:r>
          </w:p>
          <w:p w:rsidR="00000000" w:rsidRPr="003B5B78" w:rsidP="003B5B78">
            <w:pPr>
              <w:pStyle w:val="BodyText"/>
            </w:pPr>
            <w:r w:rsidRPr="003B5B78">
              <w:t>Assessment must satisfy the Principles of Assessment and Rules of Evidence and all regulatory requirements included wit</w:t>
            </w:r>
            <w:r w:rsidRPr="003B5B78">
              <w:t>hin the Standards for Registered Training Organisations current at the time of assessment.</w:t>
            </w:r>
          </w:p>
          <w:p w:rsidR="00000000" w:rsidRPr="003B5B78" w:rsidP="003B5B78">
            <w:pPr>
              <w:pStyle w:val="BodyText"/>
            </w:pPr>
            <w:r w:rsidRPr="003B5B78">
              <w:t>Assessment must occur in workplace operational situations where it is appropriate to do so; where this is not appropriate, assessment must occur in simulated workpla</w:t>
            </w:r>
            <w:r w:rsidRPr="003B5B78">
              <w:t>ce operational situations that replicate workplace conditions.</w:t>
            </w:r>
          </w:p>
          <w:p w:rsidR="00000000" w:rsidRPr="003B5B78" w:rsidP="003B5B78">
            <w:pPr>
              <w:pStyle w:val="BodyText"/>
            </w:pPr>
            <w:r w:rsidRPr="003B5B78">
              <w:t>Assessment processes and techniques must be appropriate to the language, literacy and numeracy requirements of the work being performed and the needs of the candidate.</w:t>
            </w:r>
          </w:p>
          <w:p w:rsidR="00000000" w:rsidRPr="003B5B78" w:rsidP="003B5B78">
            <w:pPr>
              <w:pStyle w:val="BodyText"/>
            </w:pPr>
            <w:r w:rsidRPr="003B5B78">
              <w:t xml:space="preserve">Resources for assessment </w:t>
            </w:r>
            <w:r w:rsidRPr="003B5B78">
              <w:t>must include access to:</w:t>
            </w:r>
          </w:p>
          <w:p w:rsidR="00000000" w:rsidRPr="003B5B78" w:rsidP="003B5B78">
            <w:pPr>
              <w:pStyle w:val="ListBullet"/>
            </w:pPr>
            <w:r w:rsidRPr="003B5B78">
              <w:t>relevant and appropriate materials, tools, equipment and PPE currently used in industry</w:t>
            </w:r>
          </w:p>
          <w:p w:rsidR="00000000" w:rsidRPr="003B5B78" w:rsidP="003B5B78">
            <w:pPr>
              <w:pStyle w:val="ListBullet"/>
            </w:pPr>
            <w:r w:rsidRPr="003B5B78">
              <w:t>applicable documentation including legislation, regulations, codes of practice, workplace procedures, sample work permits and operation manuals</w:t>
            </w:r>
            <w:r w:rsidRPr="003B5B78">
              <w:t>.</w:t>
            </w:r>
          </w:p>
        </w:tc>
      </w:tr>
    </w:tbl>
    <w:p w:rsidR="00000000" w:rsidRPr="003B5B78" w:rsidP="003B5B78">
      <w:pPr>
        <w:pStyle w:val="NoPaddingFontSize1"/>
      </w:pPr>
    </w:p>
    <w:p w:rsidR="00000000" w:rsidRPr="003B5B78" w:rsidP="003B5B78">
      <w:pPr>
        <w:pStyle w:val="AllowPageBreak"/>
      </w:pPr>
    </w:p>
    <w:p w:rsidR="00000000" w:rsidRPr="003B5B78" w:rsidP="003B5B78">
      <w:pPr>
        <w:pStyle w:val="Heading1"/>
      </w:pPr>
      <w:bookmarkStart w:id="15" w:name="O_1121567"/>
      <w:bookmarkEnd w:id="15"/>
      <w:r w:rsidRPr="003B5B78">
        <w:t>Links</w:t>
      </w:r>
    </w:p>
    <w:p w:rsidR="00000000" w:rsidRPr="003B5B78" w:rsidP="006C7291">
      <w:pPr>
        <w:pStyle w:val="BodyText"/>
      </w:pPr>
      <w:r w:rsidRPr="003B5B7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A4855">
        <w:rPr>
          <w:rStyle w:val="Hyperlink"/>
        </w:rPr>
        <w:t>https://vetnet.gov.au/Pages/TrainingDocs.aspx?q=df441c6e-213d-43e3-874c-0b3f7036d851</w:t>
      </w:r>
      <w:r>
        <w:fldChar w:fldCharType="end"/>
      </w:r>
    </w:p>
    <w:p w:rsidR="00000000" w:rsidRPr="003B5B78" w:rsidP="003B5B78"/>
    <w:sectPr w:rsidSect="003B5B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78" w:rsidRPr="006C7291" w:rsidP="006C7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91" w:rsidP="003B5B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7291" w:rsidP="003B5B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C7291" w:rsidP="003B5B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78" w:rsidP="003B5B78">
    <w:pPr>
      <w:pStyle w:val="Footer"/>
      <w:framePr w:wrap="around"/>
    </w:pPr>
    <w:r>
      <w:fldChar w:fldCharType="begin"/>
    </w:r>
    <w:r>
      <w:instrText xml:space="preserve"> DOCPROPERTY  Subject  \* MERGEFORMAT </w:instrText>
    </w:r>
    <w:r>
      <w:fldChar w:fldCharType="separate"/>
    </w:r>
    <w:r w:rsidR="006C7291">
      <w:t>Approved</w:t>
    </w:r>
    <w:r w:rsidR="006C7291">
      <w:fldChar w:fldCharType="end"/>
    </w:r>
    <w:r>
      <w:tab/>
      <w:t xml:space="preserve">Page </w:t>
    </w:r>
    <w:r>
      <w:fldChar w:fldCharType="begin"/>
    </w:r>
    <w:r>
      <w:instrText xml:space="preserve"> PAGE  \* Arabic  \* MERGEFORMAT </w:instrText>
    </w:r>
    <w:r>
      <w:fldChar w:fldCharType="separate"/>
    </w:r>
    <w:r w:rsidR="006C72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7291">
      <w:rPr>
        <w:noProof/>
      </w:rPr>
      <w:t>4</w:t>
    </w:r>
    <w:r>
      <w:rPr>
        <w:noProof/>
      </w:rPr>
      <w:fldChar w:fldCharType="end"/>
    </w:r>
  </w:p>
  <w:p w:rsidR="003B5B78" w:rsidP="003B5B78">
    <w:pPr>
      <w:pStyle w:val="Footer"/>
      <w:framePr w:wrap="around"/>
    </w:pPr>
    <w:r>
      <w:t xml:space="preserve">© Commonwealth of Australia, </w:t>
    </w:r>
    <w:r>
      <w:fldChar w:fldCharType="begin"/>
    </w:r>
    <w:r>
      <w:instrText xml:space="preserve"> DATE  \@ "yyyy"  \* MERGEFORMAT </w:instrText>
    </w:r>
    <w:r>
      <w:fldChar w:fldCharType="separate"/>
    </w:r>
    <w:r w:rsidR="006C7291">
      <w:rPr>
        <w:noProof/>
      </w:rPr>
      <w:t>2025</w:t>
    </w:r>
    <w:r>
      <w:fldChar w:fldCharType="end"/>
    </w:r>
    <w:r>
      <w:tab/>
    </w:r>
    <w:r>
      <w:fldChar w:fldCharType="begin"/>
    </w:r>
    <w:r>
      <w:instrText xml:space="preserve"> DOCPROPERTY  Author  \* MERGEFORMAT </w:instrText>
    </w:r>
    <w:r>
      <w:fldChar w:fldCharType="separate"/>
    </w:r>
    <w:r w:rsidR="006C7291">
      <w:t>Industry Skills Australia</w:t>
    </w:r>
    <w:r w:rsidR="006C7291">
      <w:fldChar w:fldCharType="end"/>
    </w:r>
  </w:p>
  <w:p w:rsidR="003B5B78" w:rsidP="003B5B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B78" w:rsidRPr="006C7291" w:rsidP="006C7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91" w:rsidRPr="002D2AF8" w:rsidP="003B5B78">
    <w:pPr>
      <w:pStyle w:val="Header"/>
      <w:framePr w:wrap="around"/>
    </w:pPr>
    <w:r>
      <w:fldChar w:fldCharType="begin"/>
    </w:r>
    <w:r>
      <w:instrText xml:space="preserve"> TITLE   \* MERGEFORMAT </w:instrText>
    </w:r>
    <w:r>
      <w:fldChar w:fldCharType="separate"/>
    </w:r>
    <w:r>
      <w:t>TLIX0027 Work safely at a fuel storage and dispensing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7291" w:rsidP="003B5B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78" w:rsidRPr="002D2AF8" w:rsidP="003B5B78">
    <w:pPr>
      <w:pStyle w:val="Header"/>
      <w:framePr w:wrap="around"/>
    </w:pPr>
    <w:r>
      <w:fldChar w:fldCharType="begin"/>
    </w:r>
    <w:r>
      <w:instrText xml:space="preserve"> TITLE   \* MERGEFORMAT </w:instrText>
    </w:r>
    <w:r>
      <w:fldChar w:fldCharType="separate"/>
    </w:r>
    <w:r w:rsidR="006C7291">
      <w:t>TLIX0027 Work safely at a fuel storage and dispensing site</w:t>
    </w:r>
    <w:r w:rsidR="006C7291">
      <w:fldChar w:fldCharType="end"/>
    </w:r>
    <w:r>
      <w:tab/>
      <w:t xml:space="preserve">Date this document was generated: </w:t>
    </w:r>
    <w:r>
      <w:fldChar w:fldCharType="begin"/>
    </w:r>
    <w:r>
      <w:instrText xml:space="preserve"> CREATEDATE  \@ "d MMMM yyyy"  \* MERGEFORMAT </w:instrText>
    </w:r>
    <w:r>
      <w:fldChar w:fldCharType="separate"/>
    </w:r>
    <w:r w:rsidR="006C7291">
      <w:rPr>
        <w:noProof/>
      </w:rPr>
      <w:t>2 March 2025</w:t>
    </w:r>
    <w:r>
      <w:fldChar w:fldCharType="end"/>
    </w:r>
  </w:p>
  <w:p w:rsidR="003B5B78" w:rsidP="003B5B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23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E46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364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B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B78"/>
    <w:pPr>
      <w:spacing w:before="360" w:after="60"/>
      <w:outlineLvl w:val="0"/>
    </w:pPr>
    <w:rPr>
      <w:sz w:val="32"/>
    </w:rPr>
  </w:style>
  <w:style w:type="paragraph" w:styleId="Heading2">
    <w:name w:val="heading 2"/>
    <w:basedOn w:val="HeadingBase"/>
    <w:next w:val="BodyText"/>
    <w:link w:val="Heading2Char"/>
    <w:qFormat/>
    <w:rsid w:val="003B5B78"/>
    <w:pPr>
      <w:keepLines/>
      <w:spacing w:before="240" w:after="120"/>
      <w:outlineLvl w:val="1"/>
    </w:pPr>
    <w:rPr>
      <w:sz w:val="28"/>
      <w:szCs w:val="40"/>
    </w:rPr>
  </w:style>
  <w:style w:type="paragraph" w:styleId="Heading3">
    <w:name w:val="heading 3"/>
    <w:basedOn w:val="HeadingBase"/>
    <w:next w:val="BodyText"/>
    <w:link w:val="Heading3Char"/>
    <w:qFormat/>
    <w:rsid w:val="003B5B78"/>
    <w:pPr>
      <w:spacing w:before="180" w:after="120"/>
      <w:outlineLvl w:val="2"/>
    </w:pPr>
    <w:rPr>
      <w:spacing w:val="-10"/>
      <w:kern w:val="32"/>
    </w:rPr>
  </w:style>
  <w:style w:type="paragraph" w:styleId="Heading4">
    <w:name w:val="heading 4"/>
    <w:basedOn w:val="HeadingBase"/>
    <w:next w:val="BodyText"/>
    <w:link w:val="Heading4Char"/>
    <w:qFormat/>
    <w:rsid w:val="003B5B78"/>
    <w:pPr>
      <w:spacing w:before="160" w:after="120"/>
      <w:outlineLvl w:val="3"/>
    </w:pPr>
    <w:rPr>
      <w:sz w:val="22"/>
    </w:rPr>
  </w:style>
  <w:style w:type="paragraph" w:styleId="Heading5">
    <w:name w:val="heading 5"/>
    <w:basedOn w:val="HeadingBase"/>
    <w:next w:val="Normal"/>
    <w:link w:val="Heading5Char"/>
    <w:qFormat/>
    <w:rsid w:val="003B5B78"/>
    <w:pPr>
      <w:spacing w:before="80"/>
      <w:outlineLvl w:val="4"/>
    </w:pPr>
    <w:rPr>
      <w:color w:val="918585"/>
      <w:sz w:val="20"/>
    </w:rPr>
  </w:style>
  <w:style w:type="paragraph" w:styleId="Heading6">
    <w:name w:val="heading 6"/>
    <w:basedOn w:val="HeadingBase"/>
    <w:next w:val="Normal"/>
    <w:link w:val="Heading6Char"/>
    <w:qFormat/>
    <w:rsid w:val="003B5B78"/>
    <w:pPr>
      <w:spacing w:before="60"/>
      <w:outlineLvl w:val="5"/>
    </w:pPr>
    <w:rPr>
      <w:color w:val="918585"/>
      <w:sz w:val="20"/>
    </w:rPr>
  </w:style>
  <w:style w:type="paragraph" w:styleId="Heading7">
    <w:name w:val="heading 7"/>
    <w:basedOn w:val="Normal"/>
    <w:next w:val="Normal"/>
    <w:link w:val="Heading7Char"/>
    <w:qFormat/>
    <w:rsid w:val="003B5B78"/>
    <w:pPr>
      <w:ind w:left="720"/>
      <w:outlineLvl w:val="6"/>
    </w:pPr>
    <w:rPr>
      <w:i/>
    </w:rPr>
  </w:style>
  <w:style w:type="paragraph" w:styleId="Heading8">
    <w:name w:val="heading 8"/>
    <w:basedOn w:val="Normal"/>
    <w:next w:val="Normal"/>
    <w:link w:val="Heading8Char"/>
    <w:qFormat/>
    <w:rsid w:val="003B5B78"/>
    <w:pPr>
      <w:ind w:left="720"/>
      <w:outlineLvl w:val="7"/>
    </w:pPr>
    <w:rPr>
      <w:i/>
    </w:rPr>
  </w:style>
  <w:style w:type="paragraph" w:styleId="Heading9">
    <w:name w:val="heading 9"/>
    <w:basedOn w:val="Normal"/>
    <w:next w:val="Normal"/>
    <w:link w:val="Heading9Char"/>
    <w:qFormat/>
    <w:rsid w:val="003B5B78"/>
    <w:pPr>
      <w:ind w:left="720"/>
      <w:outlineLvl w:val="8"/>
    </w:pPr>
    <w:rPr>
      <w:i/>
    </w:rPr>
  </w:style>
  <w:style w:type="character" w:default="1" w:styleId="DefaultParagraphFont">
    <w:name w:val="Default Paragraph Font"/>
    <w:uiPriority w:val="1"/>
    <w:unhideWhenUsed/>
    <w:rsid w:val="003B5B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B78"/>
  </w:style>
  <w:style w:type="character" w:customStyle="1" w:styleId="Heading1Char">
    <w:name w:val="Heading 1 Char"/>
    <w:basedOn w:val="DefaultParagraphFont"/>
    <w:link w:val="Heading1"/>
    <w:rsid w:val="003B5B78"/>
    <w:rPr>
      <w:rFonts w:ascii="Times New Roman" w:eastAsia="Times New Roman" w:hAnsi="Times New Roman" w:cs="Times New Roman"/>
      <w:b/>
      <w:sz w:val="32"/>
      <w:szCs w:val="20"/>
      <w:lang w:eastAsia="en-US"/>
    </w:rPr>
  </w:style>
  <w:style w:type="paragraph" w:styleId="BodyText">
    <w:name w:val="Body Text"/>
    <w:basedOn w:val="Normal"/>
    <w:link w:val="BodyTextChar"/>
    <w:rsid w:val="003B5B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B78"/>
    <w:rPr>
      <w:rFonts w:ascii="Times New Roman" w:eastAsia="Times New Roman" w:hAnsi="Times New Roman" w:cs="Times New Roman"/>
      <w:sz w:val="24"/>
      <w:lang w:eastAsia="en-US"/>
    </w:rPr>
  </w:style>
  <w:style w:type="paragraph" w:styleId="ListBullet">
    <w:name w:val="List Bullet"/>
    <w:basedOn w:val="List"/>
    <w:rsid w:val="003B5B78"/>
    <w:pPr>
      <w:numPr>
        <w:numId w:val="12"/>
      </w:numPr>
      <w:tabs>
        <w:tab w:val="clear" w:pos="340"/>
      </w:tabs>
      <w:spacing w:before="40" w:after="40"/>
    </w:pPr>
  </w:style>
  <w:style w:type="character" w:customStyle="1" w:styleId="SpecialBold">
    <w:name w:val="Special Bold"/>
    <w:basedOn w:val="DefaultParagraphFont"/>
    <w:rsid w:val="003B5B78"/>
    <w:rPr>
      <w:b/>
      <w:spacing w:val="0"/>
    </w:rPr>
  </w:style>
  <w:style w:type="paragraph" w:styleId="ListBullet2">
    <w:name w:val="List Bullet 2"/>
    <w:basedOn w:val="List2"/>
    <w:rsid w:val="003B5B78"/>
    <w:pPr>
      <w:numPr>
        <w:numId w:val="13"/>
      </w:numPr>
      <w:tabs>
        <w:tab w:val="clear" w:pos="680"/>
      </w:tabs>
    </w:pPr>
  </w:style>
  <w:style w:type="paragraph" w:customStyle="1" w:styleId="SuperHeading">
    <w:name w:val="SuperHeading"/>
    <w:basedOn w:val="Normal"/>
    <w:rsid w:val="003B5B78"/>
    <w:pPr>
      <w:spacing w:before="240" w:after="120"/>
      <w:outlineLvl w:val="0"/>
    </w:pPr>
    <w:rPr>
      <w:rFonts w:ascii="Times New Roman" w:hAnsi="Times New Roman"/>
      <w:b/>
      <w:sz w:val="32"/>
    </w:rPr>
  </w:style>
  <w:style w:type="paragraph" w:customStyle="1" w:styleId="AllowPageBreak">
    <w:name w:val="AllowPageBreak"/>
    <w:rsid w:val="003B5B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5B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B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B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B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B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B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B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B78"/>
    <w:rPr>
      <w:rFonts w:ascii="Courier New" w:eastAsia="Times New Roman" w:hAnsi="Courier New" w:cs="Times New Roman"/>
      <w:i/>
      <w:szCs w:val="20"/>
      <w:lang w:eastAsia="en-US"/>
    </w:rPr>
  </w:style>
  <w:style w:type="paragraph" w:customStyle="1" w:styleId="HeadingBase">
    <w:name w:val="Heading Base"/>
    <w:rsid w:val="003B5B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B78"/>
    <w:pPr>
      <w:tabs>
        <w:tab w:val="right" w:leader="dot" w:pos="9072"/>
      </w:tabs>
      <w:ind w:left="567"/>
    </w:pPr>
    <w:rPr>
      <w:szCs w:val="22"/>
    </w:rPr>
  </w:style>
  <w:style w:type="paragraph" w:customStyle="1" w:styleId="TOCBase">
    <w:name w:val="TOC Base"/>
    <w:rsid w:val="003B5B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B78"/>
    <w:pPr>
      <w:tabs>
        <w:tab w:val="right" w:leader="dot" w:pos="9072"/>
      </w:tabs>
      <w:spacing w:before="40" w:after="40"/>
      <w:ind w:left="284"/>
    </w:pPr>
    <w:rPr>
      <w:rFonts w:ascii="Times New Roman" w:hAnsi="Times New Roman"/>
    </w:rPr>
  </w:style>
  <w:style w:type="paragraph" w:styleId="TOC1">
    <w:name w:val="toc 1"/>
    <w:basedOn w:val="TOCBase"/>
    <w:next w:val="Normal"/>
    <w:rsid w:val="003B5B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B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B78"/>
    <w:rPr>
      <w:rFonts w:ascii="Times New Roman" w:eastAsia="Times New Roman" w:hAnsi="Times New Roman" w:cs="Times New Roman"/>
      <w:sz w:val="16"/>
      <w:lang w:eastAsia="en-US"/>
    </w:rPr>
  </w:style>
  <w:style w:type="paragraph" w:styleId="Title">
    <w:name w:val="Title"/>
    <w:basedOn w:val="HeadingBase"/>
    <w:link w:val="TitleChar"/>
    <w:qFormat/>
    <w:rsid w:val="003B5B78"/>
    <w:pPr>
      <w:spacing w:before="5040"/>
      <w:jc w:val="center"/>
    </w:pPr>
    <w:rPr>
      <w:sz w:val="48"/>
      <w:szCs w:val="72"/>
      <w:lang w:val="en-US"/>
    </w:rPr>
  </w:style>
  <w:style w:type="character" w:customStyle="1" w:styleId="TitleChar">
    <w:name w:val="Title Char"/>
    <w:basedOn w:val="DefaultParagraphFont"/>
    <w:link w:val="Title"/>
    <w:rsid w:val="003B5B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B78"/>
    <w:pPr>
      <w:tabs>
        <w:tab w:val="left" w:pos="3600"/>
        <w:tab w:val="left" w:pos="3958"/>
      </w:tabs>
    </w:pPr>
  </w:style>
  <w:style w:type="paragraph" w:styleId="List">
    <w:name w:val="List"/>
    <w:basedOn w:val="BodyText"/>
    <w:next w:val="BodyText"/>
    <w:rsid w:val="003B5B78"/>
    <w:pPr>
      <w:tabs>
        <w:tab w:val="left" w:pos="340"/>
      </w:tabs>
      <w:spacing w:before="60" w:after="60"/>
      <w:ind w:left="340" w:hanging="340"/>
    </w:pPr>
  </w:style>
  <w:style w:type="paragraph" w:customStyle="1" w:styleId="Note">
    <w:name w:val="Note"/>
    <w:basedOn w:val="BodyText"/>
    <w:rsid w:val="003B5B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B78"/>
    <w:pPr>
      <w:framePr w:wrap="auto" w:hAnchor="text" w:y="6049"/>
    </w:pPr>
    <w:rPr>
      <w:color w:val="000000"/>
      <w:sz w:val="40"/>
    </w:rPr>
  </w:style>
  <w:style w:type="paragraph" w:customStyle="1" w:styleId="TOCTitle">
    <w:name w:val="TOCTitle"/>
    <w:basedOn w:val="Heading1"/>
    <w:rsid w:val="003B5B78"/>
    <w:pPr>
      <w:spacing w:after="240"/>
      <w:jc w:val="center"/>
      <w:outlineLvl w:val="9"/>
    </w:pPr>
    <w:rPr>
      <w:caps/>
    </w:rPr>
  </w:style>
  <w:style w:type="paragraph" w:customStyle="1" w:styleId="Version">
    <w:name w:val="Version"/>
    <w:rsid w:val="003B5B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B78"/>
    <w:pPr>
      <w:keepNext w:val="0"/>
      <w:tabs>
        <w:tab w:val="right" w:pos="4176"/>
      </w:tabs>
      <w:ind w:left="198" w:hanging="198"/>
    </w:pPr>
    <w:rPr>
      <w:rFonts w:ascii="Garamond" w:hAnsi="Garamond"/>
    </w:rPr>
  </w:style>
  <w:style w:type="paragraph" w:styleId="IndexHeading">
    <w:name w:val="index heading"/>
    <w:basedOn w:val="Normal"/>
    <w:next w:val="Index1"/>
    <w:semiHidden/>
    <w:rsid w:val="003B5B78"/>
    <w:pPr>
      <w:spacing w:before="120" w:after="120"/>
    </w:pPr>
    <w:rPr>
      <w:rFonts w:ascii="Arial" w:hAnsi="Arial"/>
      <w:b/>
      <w:color w:val="918585"/>
      <w:sz w:val="24"/>
    </w:rPr>
  </w:style>
  <w:style w:type="paragraph" w:styleId="Header">
    <w:name w:val="header"/>
    <w:basedOn w:val="Normal"/>
    <w:link w:val="HeaderChar"/>
    <w:rsid w:val="003B5B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B78"/>
    <w:rPr>
      <w:rFonts w:ascii="Times New Roman" w:eastAsia="Times New Roman" w:hAnsi="Times New Roman" w:cs="Times New Roman"/>
      <w:sz w:val="16"/>
      <w:szCs w:val="20"/>
      <w:lang w:val="en-GB" w:eastAsia="en-US"/>
    </w:rPr>
  </w:style>
  <w:style w:type="paragraph" w:customStyle="1" w:styleId="Chapter">
    <w:name w:val="Chapter"/>
    <w:basedOn w:val="Normal"/>
    <w:rsid w:val="003B5B78"/>
    <w:pPr>
      <w:spacing w:before="240"/>
    </w:pPr>
    <w:rPr>
      <w:rFonts w:ascii="Times New Roman" w:hAnsi="Times New Roman"/>
      <w:smallCaps/>
      <w:spacing w:val="80"/>
      <w:sz w:val="28"/>
    </w:rPr>
  </w:style>
  <w:style w:type="paragraph" w:customStyle="1" w:styleId="InChapter">
    <w:name w:val="InChapter"/>
    <w:basedOn w:val="Heading3"/>
    <w:rsid w:val="003B5B78"/>
    <w:pPr>
      <w:spacing w:after="240"/>
      <w:outlineLvl w:val="9"/>
    </w:pPr>
    <w:rPr>
      <w:noProof/>
    </w:rPr>
  </w:style>
  <w:style w:type="paragraph" w:styleId="Index2">
    <w:name w:val="index 2"/>
    <w:basedOn w:val="Normal"/>
    <w:next w:val="Normal"/>
    <w:semiHidden/>
    <w:rsid w:val="003B5B78"/>
    <w:pPr>
      <w:tabs>
        <w:tab w:val="right" w:pos="4176"/>
      </w:tabs>
      <w:ind w:left="568" w:hanging="284"/>
    </w:pPr>
    <w:rPr>
      <w:rFonts w:ascii="Garamond" w:hAnsi="Garamond"/>
    </w:rPr>
  </w:style>
  <w:style w:type="paragraph" w:customStyle="1" w:styleId="Byline">
    <w:name w:val="Byline"/>
    <w:rsid w:val="003B5B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B78"/>
    <w:pPr>
      <w:tabs>
        <w:tab w:val="clear" w:pos="3600"/>
        <w:tab w:val="clear" w:pos="3958"/>
      </w:tabs>
      <w:jc w:val="right"/>
    </w:pPr>
  </w:style>
  <w:style w:type="character" w:styleId="Emphasis">
    <w:name w:val="Emphasis"/>
    <w:basedOn w:val="DefaultParagraphFont"/>
    <w:qFormat/>
    <w:rsid w:val="003B5B78"/>
    <w:rPr>
      <w:i/>
    </w:rPr>
  </w:style>
  <w:style w:type="paragraph" w:styleId="Caption">
    <w:name w:val="caption"/>
    <w:basedOn w:val="BodyText"/>
    <w:next w:val="Normal"/>
    <w:qFormat/>
    <w:rsid w:val="003B5B78"/>
    <w:pPr>
      <w:framePr w:w="2268" w:hSpace="181" w:vSpace="181" w:wrap="around" w:vAnchor="text" w:hAnchor="page" w:x="1135" w:y="285" w:anchorLock="1"/>
    </w:pPr>
    <w:rPr>
      <w:i/>
    </w:rPr>
  </w:style>
  <w:style w:type="paragraph" w:customStyle="1" w:styleId="MiniTOCTitle">
    <w:name w:val="MiniTOCTitle"/>
    <w:basedOn w:val="Heading4"/>
    <w:rsid w:val="003B5B78"/>
    <w:pPr>
      <w:spacing w:before="240"/>
      <w:outlineLvl w:val="9"/>
    </w:pPr>
    <w:rPr>
      <w:noProof/>
      <w:sz w:val="24"/>
    </w:rPr>
  </w:style>
  <w:style w:type="paragraph" w:customStyle="1" w:styleId="MiniTOCItem">
    <w:name w:val="MiniTOCItem"/>
    <w:basedOn w:val="ListBullet"/>
    <w:rsid w:val="003B5B78"/>
    <w:pPr>
      <w:numPr>
        <w:numId w:val="0"/>
      </w:numPr>
      <w:tabs>
        <w:tab w:val="right" w:leader="dot" w:pos="6521"/>
      </w:tabs>
      <w:spacing w:before="0" w:after="0"/>
    </w:pPr>
  </w:style>
  <w:style w:type="paragraph" w:customStyle="1" w:styleId="TOFTitle">
    <w:name w:val="TOFTitle"/>
    <w:basedOn w:val="TOCTitle"/>
    <w:rsid w:val="003B5B78"/>
  </w:style>
  <w:style w:type="paragraph" w:styleId="TableofFigures">
    <w:name w:val="table of figures"/>
    <w:basedOn w:val="Normal"/>
    <w:next w:val="Normal"/>
    <w:semiHidden/>
    <w:rsid w:val="003B5B78"/>
    <w:pPr>
      <w:tabs>
        <w:tab w:val="right" w:leader="dot" w:pos="9072"/>
      </w:tabs>
      <w:ind w:left="970" w:hanging="403"/>
    </w:pPr>
    <w:rPr>
      <w:rFonts w:ascii="Times New Roman" w:hAnsi="Times New Roman"/>
      <w:b/>
    </w:rPr>
  </w:style>
  <w:style w:type="paragraph" w:styleId="ListNumber">
    <w:name w:val="List Number"/>
    <w:basedOn w:val="List"/>
    <w:rsid w:val="003B5B78"/>
    <w:pPr>
      <w:numPr>
        <w:numId w:val="15"/>
      </w:numPr>
      <w:tabs>
        <w:tab w:val="clear" w:pos="340"/>
      </w:tabs>
    </w:pPr>
  </w:style>
  <w:style w:type="character" w:customStyle="1" w:styleId="WingdingSymbols">
    <w:name w:val="Wingding Symbols"/>
    <w:rsid w:val="003B5B78"/>
    <w:rPr>
      <w:rFonts w:ascii="Wingdings" w:hAnsi="Wingdings"/>
    </w:rPr>
  </w:style>
  <w:style w:type="paragraph" w:customStyle="1" w:styleId="TableHeading">
    <w:name w:val="Table Heading"/>
    <w:basedOn w:val="HeadingBase"/>
    <w:rsid w:val="003B5B78"/>
    <w:pPr>
      <w:keepLines/>
      <w:pBdr>
        <w:bottom w:val="single" w:sz="6" w:space="1" w:color="918585"/>
      </w:pBdr>
      <w:spacing w:before="240"/>
    </w:pPr>
  </w:style>
  <w:style w:type="character" w:customStyle="1" w:styleId="HotSpot">
    <w:name w:val="HotSpot"/>
    <w:rsid w:val="003B5B78"/>
    <w:rPr>
      <w:color w:val="0033CC"/>
      <w:u w:val="none"/>
    </w:rPr>
  </w:style>
  <w:style w:type="paragraph" w:customStyle="1" w:styleId="BodyTextRight">
    <w:name w:val="Body Text Right"/>
    <w:basedOn w:val="BodyText"/>
    <w:rsid w:val="003B5B78"/>
    <w:pPr>
      <w:spacing w:before="0" w:after="0"/>
      <w:jc w:val="right"/>
    </w:pPr>
  </w:style>
  <w:style w:type="paragraph" w:styleId="Index3">
    <w:name w:val="index 3"/>
    <w:basedOn w:val="ListNumber2"/>
    <w:next w:val="Normal"/>
    <w:semiHidden/>
    <w:rsid w:val="003B5B78"/>
    <w:pPr>
      <w:numPr>
        <w:numId w:val="0"/>
      </w:numPr>
      <w:tabs>
        <w:tab w:val="right" w:leader="dot" w:pos="4176"/>
      </w:tabs>
    </w:pPr>
  </w:style>
  <w:style w:type="paragraph" w:styleId="ListNumber2">
    <w:name w:val="List Number 2"/>
    <w:basedOn w:val="List2"/>
    <w:rsid w:val="003B5B78"/>
    <w:pPr>
      <w:numPr>
        <w:numId w:val="10"/>
      </w:numPr>
      <w:tabs>
        <w:tab w:val="clear" w:pos="1060"/>
      </w:tabs>
    </w:pPr>
  </w:style>
  <w:style w:type="paragraph" w:customStyle="1" w:styleId="MarginNote">
    <w:name w:val="Margin Note"/>
    <w:basedOn w:val="BodyText"/>
    <w:rsid w:val="003B5B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B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B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B78"/>
    <w:rPr>
      <w:sz w:val="32"/>
    </w:rPr>
  </w:style>
  <w:style w:type="paragraph" w:customStyle="1" w:styleId="HeadingProcedure">
    <w:name w:val="Heading Procedure"/>
    <w:basedOn w:val="HeadingBase"/>
    <w:next w:val="Normal"/>
    <w:rsid w:val="003B5B78"/>
    <w:pPr>
      <w:tabs>
        <w:tab w:val="left" w:pos="0"/>
      </w:tabs>
      <w:spacing w:before="120" w:after="60"/>
    </w:pPr>
    <w:rPr>
      <w:i/>
      <w:color w:val="918585"/>
      <w:sz w:val="22"/>
    </w:rPr>
  </w:style>
  <w:style w:type="paragraph" w:customStyle="1" w:styleId="TableBodyText">
    <w:name w:val="Table Body Text"/>
    <w:basedOn w:val="BodyText"/>
    <w:rsid w:val="003B5B78"/>
    <w:pPr>
      <w:spacing w:before="60" w:after="60"/>
    </w:pPr>
  </w:style>
  <w:style w:type="paragraph" w:styleId="ListContinue">
    <w:name w:val="List Continue"/>
    <w:basedOn w:val="List"/>
    <w:rsid w:val="003B5B78"/>
    <w:pPr>
      <w:ind w:firstLine="0"/>
    </w:pPr>
  </w:style>
  <w:style w:type="paragraph" w:customStyle="1" w:styleId="ListNote">
    <w:name w:val="List Note"/>
    <w:basedOn w:val="List"/>
    <w:rsid w:val="003B5B78"/>
    <w:pPr>
      <w:pBdr>
        <w:top w:val="single" w:sz="6" w:space="2" w:color="918585"/>
        <w:bottom w:val="single" w:sz="6" w:space="2" w:color="918585"/>
      </w:pBdr>
      <w:tabs>
        <w:tab w:val="left" w:pos="1021"/>
      </w:tabs>
      <w:ind w:firstLine="0"/>
    </w:pPr>
  </w:style>
  <w:style w:type="paragraph" w:customStyle="1" w:styleId="Warning">
    <w:name w:val="Warning"/>
    <w:basedOn w:val="BodyText"/>
    <w:rsid w:val="003B5B78"/>
    <w:pPr>
      <w:shd w:val="clear" w:color="auto" w:fill="D9D9D9"/>
      <w:tabs>
        <w:tab w:val="left" w:pos="992"/>
      </w:tabs>
      <w:ind w:left="119" w:right="119"/>
    </w:pPr>
    <w:rPr>
      <w:sz w:val="20"/>
    </w:rPr>
  </w:style>
  <w:style w:type="paragraph" w:customStyle="1" w:styleId="MarginIcons">
    <w:name w:val="Margin Icons"/>
    <w:basedOn w:val="BodyText"/>
    <w:rsid w:val="003B5B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B78"/>
    <w:rPr>
      <w:rFonts w:ascii="Courier New" w:hAnsi="Courier New"/>
    </w:rPr>
  </w:style>
  <w:style w:type="paragraph" w:customStyle="1" w:styleId="NoteBullet">
    <w:name w:val="Note Bullet"/>
    <w:basedOn w:val="Note"/>
    <w:rsid w:val="003B5B78"/>
    <w:pPr>
      <w:tabs>
        <w:tab w:val="clear" w:pos="680"/>
      </w:tabs>
      <w:spacing w:before="60" w:after="60"/>
    </w:pPr>
  </w:style>
  <w:style w:type="paragraph" w:customStyle="1" w:styleId="SubHeading2">
    <w:name w:val="SubHeading2"/>
    <w:basedOn w:val="HeadingBase"/>
    <w:rsid w:val="003B5B78"/>
    <w:pPr>
      <w:spacing w:before="240" w:after="60"/>
    </w:pPr>
    <w:rPr>
      <w:sz w:val="20"/>
    </w:rPr>
  </w:style>
  <w:style w:type="paragraph" w:customStyle="1" w:styleId="SubHeading1">
    <w:name w:val="SubHeading1"/>
    <w:basedOn w:val="HeadingBase"/>
    <w:rsid w:val="003B5B78"/>
    <w:pPr>
      <w:spacing w:before="240" w:after="60"/>
    </w:pPr>
    <w:rPr>
      <w:color w:val="918585"/>
      <w:sz w:val="22"/>
    </w:rPr>
  </w:style>
  <w:style w:type="paragraph" w:customStyle="1" w:styleId="SideHeading">
    <w:name w:val="Side Heading"/>
    <w:basedOn w:val="HeadingBase"/>
    <w:rsid w:val="003B5B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B78"/>
    <w:pPr>
      <w:tabs>
        <w:tab w:val="num" w:pos="360"/>
      </w:tabs>
    </w:pPr>
  </w:style>
  <w:style w:type="paragraph" w:styleId="PlainText">
    <w:name w:val="Plain Text"/>
    <w:basedOn w:val="Normal"/>
    <w:link w:val="PlainTextChar"/>
    <w:rsid w:val="003B5B78"/>
    <w:rPr>
      <w:sz w:val="20"/>
    </w:rPr>
  </w:style>
  <w:style w:type="character" w:customStyle="1" w:styleId="PlainTextChar">
    <w:name w:val="Plain Text Char"/>
    <w:basedOn w:val="DefaultParagraphFont"/>
    <w:link w:val="PlainText"/>
    <w:rsid w:val="003B5B78"/>
    <w:rPr>
      <w:rFonts w:ascii="Courier New" w:eastAsia="Times New Roman" w:hAnsi="Courier New" w:cs="Times New Roman"/>
      <w:sz w:val="20"/>
      <w:szCs w:val="20"/>
      <w:lang w:eastAsia="en-US"/>
    </w:rPr>
  </w:style>
  <w:style w:type="character" w:customStyle="1" w:styleId="MenuOption">
    <w:name w:val="Menu Option"/>
    <w:basedOn w:val="DefaultParagraphFont"/>
    <w:rsid w:val="003B5B78"/>
    <w:rPr>
      <w:b/>
      <w:smallCaps/>
    </w:rPr>
  </w:style>
  <w:style w:type="paragraph" w:customStyle="1" w:styleId="TableListNumber">
    <w:name w:val="Table List Number"/>
    <w:basedOn w:val="ListNumber"/>
    <w:rsid w:val="003B5B78"/>
    <w:pPr>
      <w:numPr>
        <w:numId w:val="0"/>
      </w:numPr>
    </w:pPr>
  </w:style>
  <w:style w:type="paragraph" w:styleId="TOC4">
    <w:name w:val="toc 4"/>
    <w:basedOn w:val="TOCBase"/>
    <w:next w:val="Normal"/>
    <w:semiHidden/>
    <w:rsid w:val="003B5B78"/>
    <w:pPr>
      <w:tabs>
        <w:tab w:val="right" w:leader="dot" w:pos="9071"/>
      </w:tabs>
      <w:ind w:left="1701"/>
    </w:pPr>
  </w:style>
  <w:style w:type="paragraph" w:customStyle="1" w:styleId="ListAlpha">
    <w:name w:val="List Alpha"/>
    <w:basedOn w:val="List"/>
    <w:rsid w:val="003B5B78"/>
    <w:pPr>
      <w:numPr>
        <w:numId w:val="9"/>
      </w:numPr>
    </w:pPr>
  </w:style>
  <w:style w:type="paragraph" w:customStyle="1" w:styleId="ListAlpha2">
    <w:name w:val="List Alpha 2"/>
    <w:basedOn w:val="List2"/>
    <w:rsid w:val="003B5B78"/>
    <w:pPr>
      <w:numPr>
        <w:numId w:val="8"/>
      </w:numPr>
    </w:pPr>
  </w:style>
  <w:style w:type="paragraph" w:styleId="List2">
    <w:name w:val="List 2"/>
    <w:basedOn w:val="BodyText"/>
    <w:rsid w:val="003B5B78"/>
    <w:pPr>
      <w:tabs>
        <w:tab w:val="left" w:pos="680"/>
      </w:tabs>
      <w:spacing w:before="60" w:after="60"/>
      <w:ind w:left="680" w:hanging="340"/>
    </w:pPr>
  </w:style>
  <w:style w:type="paragraph" w:styleId="List3">
    <w:name w:val="List 3"/>
    <w:basedOn w:val="BodyText"/>
    <w:rsid w:val="003B5B78"/>
    <w:pPr>
      <w:tabs>
        <w:tab w:val="left" w:pos="1021"/>
      </w:tabs>
      <w:spacing w:before="60" w:after="60"/>
      <w:ind w:left="1020" w:hanging="340"/>
    </w:pPr>
  </w:style>
  <w:style w:type="paragraph" w:styleId="List4">
    <w:name w:val="List 4"/>
    <w:basedOn w:val="BodyText"/>
    <w:rsid w:val="003B5B78"/>
    <w:pPr>
      <w:tabs>
        <w:tab w:val="left" w:pos="1361"/>
      </w:tabs>
      <w:spacing w:before="60" w:after="60"/>
      <w:ind w:left="1361" w:hanging="340"/>
    </w:pPr>
  </w:style>
  <w:style w:type="paragraph" w:styleId="List5">
    <w:name w:val="List 5"/>
    <w:basedOn w:val="BodyText"/>
    <w:rsid w:val="003B5B78"/>
    <w:pPr>
      <w:tabs>
        <w:tab w:val="left" w:pos="1701"/>
      </w:tabs>
      <w:spacing w:before="60" w:after="60"/>
      <w:ind w:left="1701" w:hanging="340"/>
    </w:pPr>
  </w:style>
  <w:style w:type="paragraph" w:styleId="ListBullet3">
    <w:name w:val="List Bullet 3"/>
    <w:basedOn w:val="List3"/>
    <w:rsid w:val="003B5B78"/>
    <w:pPr>
      <w:numPr>
        <w:numId w:val="14"/>
      </w:numPr>
      <w:tabs>
        <w:tab w:val="clear" w:pos="1021"/>
      </w:tabs>
      <w:ind w:left="1037" w:hanging="357"/>
    </w:pPr>
  </w:style>
  <w:style w:type="paragraph" w:styleId="ListBullet4">
    <w:name w:val="List Bullet 4"/>
    <w:basedOn w:val="List4"/>
    <w:rsid w:val="003B5B78"/>
    <w:pPr>
      <w:numPr>
        <w:numId w:val="3"/>
      </w:numPr>
      <w:tabs>
        <w:tab w:val="clear" w:pos="1361"/>
      </w:tabs>
    </w:pPr>
  </w:style>
  <w:style w:type="paragraph" w:styleId="ListBullet5">
    <w:name w:val="List Bullet 5"/>
    <w:basedOn w:val="List5"/>
    <w:rsid w:val="003B5B78"/>
    <w:pPr>
      <w:numPr>
        <w:numId w:val="4"/>
      </w:numPr>
    </w:pPr>
  </w:style>
  <w:style w:type="paragraph" w:styleId="ListContinue2">
    <w:name w:val="List Continue 2"/>
    <w:basedOn w:val="List2"/>
    <w:rsid w:val="003B5B78"/>
    <w:pPr>
      <w:ind w:firstLine="0"/>
    </w:pPr>
  </w:style>
  <w:style w:type="paragraph" w:styleId="ListContinue3">
    <w:name w:val="List Continue 3"/>
    <w:basedOn w:val="List3"/>
    <w:rsid w:val="003B5B78"/>
    <w:pPr>
      <w:ind w:left="1021" w:firstLine="0"/>
    </w:pPr>
  </w:style>
  <w:style w:type="paragraph" w:styleId="ListContinue4">
    <w:name w:val="List Continue 4"/>
    <w:basedOn w:val="List4"/>
    <w:rsid w:val="003B5B78"/>
    <w:pPr>
      <w:ind w:firstLine="0"/>
    </w:pPr>
  </w:style>
  <w:style w:type="paragraph" w:styleId="ListContinue5">
    <w:name w:val="List Continue 5"/>
    <w:basedOn w:val="List5"/>
    <w:rsid w:val="003B5B78"/>
    <w:pPr>
      <w:ind w:firstLine="0"/>
    </w:pPr>
  </w:style>
  <w:style w:type="paragraph" w:styleId="ListNumber3">
    <w:name w:val="List Number 3"/>
    <w:basedOn w:val="List3"/>
    <w:rsid w:val="003B5B78"/>
    <w:pPr>
      <w:numPr>
        <w:numId w:val="5"/>
      </w:numPr>
    </w:pPr>
  </w:style>
  <w:style w:type="paragraph" w:styleId="ListNumber4">
    <w:name w:val="List Number 4"/>
    <w:basedOn w:val="List4"/>
    <w:rsid w:val="003B5B78"/>
    <w:pPr>
      <w:numPr>
        <w:numId w:val="6"/>
      </w:numPr>
    </w:pPr>
  </w:style>
  <w:style w:type="paragraph" w:styleId="ListNumber5">
    <w:name w:val="List Number 5"/>
    <w:basedOn w:val="List5"/>
    <w:rsid w:val="003B5B78"/>
    <w:pPr>
      <w:numPr>
        <w:numId w:val="7"/>
      </w:numPr>
    </w:pPr>
  </w:style>
  <w:style w:type="paragraph" w:styleId="BlockText">
    <w:name w:val="Block Text"/>
    <w:basedOn w:val="Normal"/>
    <w:rsid w:val="003B5B78"/>
    <w:pPr>
      <w:spacing w:after="120"/>
      <w:ind w:left="1440" w:right="1440"/>
    </w:pPr>
  </w:style>
  <w:style w:type="character" w:customStyle="1" w:styleId="Subscript">
    <w:name w:val="Subscript"/>
    <w:basedOn w:val="DefaultParagraphFont"/>
    <w:rsid w:val="003B5B78"/>
    <w:rPr>
      <w:sz w:val="16"/>
      <w:vertAlign w:val="subscript"/>
    </w:rPr>
  </w:style>
  <w:style w:type="character" w:customStyle="1" w:styleId="Superscript">
    <w:name w:val="Superscript"/>
    <w:basedOn w:val="DefaultParagraphFont"/>
    <w:rsid w:val="003B5B78"/>
    <w:rPr>
      <w:sz w:val="16"/>
      <w:vertAlign w:val="superscript"/>
    </w:rPr>
  </w:style>
  <w:style w:type="character" w:customStyle="1" w:styleId="Symbols">
    <w:name w:val="Symbols"/>
    <w:basedOn w:val="DefaultParagraphFont"/>
    <w:rsid w:val="003B5B78"/>
    <w:rPr>
      <w:rFonts w:ascii="Symbol" w:hAnsi="Symbol"/>
    </w:rPr>
  </w:style>
  <w:style w:type="character" w:customStyle="1" w:styleId="MenuOptions">
    <w:name w:val="Menu Options"/>
    <w:basedOn w:val="DefaultParagraphFont"/>
    <w:rsid w:val="003B5B78"/>
    <w:rPr>
      <w:rFonts w:ascii="Arial Narrow" w:hAnsi="Arial Narrow"/>
      <w:smallCaps/>
    </w:rPr>
  </w:style>
  <w:style w:type="character" w:customStyle="1" w:styleId="Buttons">
    <w:name w:val="Buttons"/>
    <w:basedOn w:val="DefaultParagraphFont"/>
    <w:rsid w:val="003B5B78"/>
    <w:rPr>
      <w:b/>
    </w:rPr>
  </w:style>
  <w:style w:type="character" w:customStyle="1" w:styleId="Underlined">
    <w:name w:val="Underlined"/>
    <w:basedOn w:val="DefaultParagraphFont"/>
    <w:rsid w:val="003B5B78"/>
    <w:rPr>
      <w:u w:val="single"/>
    </w:rPr>
  </w:style>
  <w:style w:type="paragraph" w:customStyle="1" w:styleId="TableBodyTextRight">
    <w:name w:val="Table Body Text Right"/>
    <w:basedOn w:val="TableBodyText"/>
    <w:rsid w:val="003B5B78"/>
    <w:pPr>
      <w:widowControl w:val="0"/>
      <w:autoSpaceDE w:val="0"/>
      <w:autoSpaceDN w:val="0"/>
      <w:adjustRightInd w:val="0"/>
      <w:jc w:val="right"/>
    </w:pPr>
    <w:rPr>
      <w:rFonts w:cs="Arial"/>
      <w:szCs w:val="18"/>
    </w:rPr>
  </w:style>
  <w:style w:type="paragraph" w:customStyle="1" w:styleId="CopyrightText">
    <w:name w:val="Copyright Text"/>
    <w:basedOn w:val="BodyText"/>
    <w:rsid w:val="003B5B78"/>
    <w:rPr>
      <w:sz w:val="18"/>
    </w:rPr>
  </w:style>
  <w:style w:type="paragraph" w:customStyle="1" w:styleId="BodySmallRight">
    <w:name w:val="Body Small Right"/>
    <w:basedOn w:val="BodyTextRight"/>
    <w:rsid w:val="003B5B78"/>
    <w:rPr>
      <w:sz w:val="18"/>
      <w:szCs w:val="18"/>
    </w:rPr>
  </w:style>
  <w:style w:type="paragraph" w:customStyle="1" w:styleId="MarginEdition">
    <w:name w:val="Margin Edition"/>
    <w:basedOn w:val="MarginNote"/>
    <w:rsid w:val="003B5B78"/>
    <w:pPr>
      <w:spacing w:before="0" w:after="0"/>
    </w:pPr>
    <w:rPr>
      <w:rFonts w:ascii="Times New Roman" w:hAnsi="Times New Roman"/>
      <w:color w:val="999999"/>
    </w:rPr>
  </w:style>
  <w:style w:type="paragraph" w:customStyle="1" w:styleId="Spacer">
    <w:name w:val="Spacer"/>
    <w:basedOn w:val="Normal"/>
    <w:rsid w:val="003B5B78"/>
    <w:rPr>
      <w:sz w:val="2"/>
      <w:szCs w:val="2"/>
    </w:rPr>
  </w:style>
  <w:style w:type="character" w:customStyle="1" w:styleId="Small">
    <w:name w:val="Small"/>
    <w:basedOn w:val="DefaultParagraphFont"/>
    <w:rsid w:val="003B5B78"/>
    <w:rPr>
      <w:sz w:val="16"/>
    </w:rPr>
  </w:style>
  <w:style w:type="paragraph" w:customStyle="1" w:styleId="WideTable">
    <w:name w:val="Wide Table"/>
    <w:basedOn w:val="Normal"/>
    <w:rsid w:val="003B5B78"/>
    <w:pPr>
      <w:ind w:left="-1418"/>
    </w:pPr>
    <w:rPr>
      <w:sz w:val="2"/>
      <w:szCs w:val="2"/>
    </w:rPr>
  </w:style>
  <w:style w:type="character" w:styleId="PageNumber">
    <w:name w:val="page number"/>
    <w:basedOn w:val="DefaultParagraphFont"/>
    <w:rsid w:val="003B5B78"/>
  </w:style>
  <w:style w:type="paragraph" w:styleId="Quote">
    <w:name w:val="Quote"/>
    <w:basedOn w:val="Heading1"/>
    <w:link w:val="QuoteChar"/>
    <w:qFormat/>
    <w:rsid w:val="003B5B78"/>
    <w:rPr>
      <w:b w:val="0"/>
      <w:sz w:val="72"/>
      <w:szCs w:val="72"/>
      <w:lang w:val="en-NZ"/>
    </w:rPr>
  </w:style>
  <w:style w:type="character" w:customStyle="1" w:styleId="QuoteChar">
    <w:name w:val="Quote Char"/>
    <w:basedOn w:val="DefaultParagraphFont"/>
    <w:link w:val="Quote"/>
    <w:rsid w:val="003B5B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B78"/>
    <w:pPr>
      <w:pageBreakBefore/>
    </w:pPr>
  </w:style>
  <w:style w:type="paragraph" w:customStyle="1" w:styleId="Border">
    <w:name w:val="Border"/>
    <w:basedOn w:val="Normal"/>
    <w:qFormat/>
    <w:rsid w:val="003B5B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B78"/>
    <w:rPr>
      <w:b/>
      <w:bCs/>
      <w:i/>
      <w:iCs/>
      <w:color w:val="auto"/>
    </w:rPr>
  </w:style>
  <w:style w:type="paragraph" w:styleId="IntenseQuote">
    <w:name w:val="Intense Quote"/>
    <w:basedOn w:val="Normal"/>
    <w:next w:val="Normal"/>
    <w:link w:val="IntenseQuoteChar"/>
    <w:uiPriority w:val="30"/>
    <w:qFormat/>
    <w:rsid w:val="003B5B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B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B78"/>
    <w:rPr>
      <w:smallCaps/>
      <w:color w:val="auto"/>
      <w:u w:val="single"/>
    </w:rPr>
  </w:style>
  <w:style w:type="character" w:styleId="IntenseReference">
    <w:name w:val="Intense Reference"/>
    <w:basedOn w:val="DefaultParagraphFont"/>
    <w:uiPriority w:val="32"/>
    <w:qFormat/>
    <w:rsid w:val="003B5B78"/>
    <w:rPr>
      <w:b/>
      <w:bCs/>
      <w:smallCaps/>
      <w:color w:val="auto"/>
      <w:spacing w:val="5"/>
      <w:u w:val="single"/>
    </w:rPr>
  </w:style>
  <w:style w:type="paragraph" w:customStyle="1" w:styleId="2ColumnHeading">
    <w:name w:val="2Column Heading"/>
    <w:basedOn w:val="BodyText"/>
    <w:qFormat/>
    <w:rsid w:val="003B5B78"/>
    <w:pPr>
      <w:spacing w:after="60"/>
      <w:ind w:left="-2268"/>
    </w:pPr>
    <w:rPr>
      <w:b/>
    </w:rPr>
  </w:style>
  <w:style w:type="paragraph" w:customStyle="1" w:styleId="Heading1TOC">
    <w:name w:val="Heading1 TOC"/>
    <w:basedOn w:val="Normal"/>
    <w:qFormat/>
    <w:rsid w:val="003B5B78"/>
    <w:pPr>
      <w:spacing w:before="240" w:after="120"/>
    </w:pPr>
    <w:rPr>
      <w:rFonts w:ascii="Times New Roman" w:hAnsi="Times New Roman"/>
      <w:b/>
      <w:sz w:val="32"/>
    </w:rPr>
  </w:style>
  <w:style w:type="paragraph" w:customStyle="1" w:styleId="Heading2TOC">
    <w:name w:val="Heading2 TOC"/>
    <w:basedOn w:val="Normal"/>
    <w:qFormat/>
    <w:rsid w:val="003B5B78"/>
    <w:pPr>
      <w:spacing w:before="240" w:after="60"/>
    </w:pPr>
    <w:rPr>
      <w:rFonts w:ascii="Times New Roman" w:hAnsi="Times New Roman"/>
      <w:b/>
      <w:sz w:val="28"/>
    </w:rPr>
  </w:style>
  <w:style w:type="character" w:customStyle="1" w:styleId="Underline">
    <w:name w:val="Underline"/>
    <w:basedOn w:val="DefaultParagraphFont"/>
    <w:qFormat/>
    <w:rsid w:val="003B5B78"/>
    <w:rPr>
      <w:u w:val="single"/>
    </w:rPr>
  </w:style>
  <w:style w:type="character" w:customStyle="1" w:styleId="BoldandItalics">
    <w:name w:val="Bold and Italics"/>
    <w:qFormat/>
    <w:rsid w:val="003B5B78"/>
    <w:rPr>
      <w:b/>
      <w:i/>
      <w:u w:val="none"/>
    </w:rPr>
  </w:style>
  <w:style w:type="paragraph" w:styleId="BalloonText">
    <w:name w:val="Balloon Text"/>
    <w:basedOn w:val="Normal"/>
    <w:link w:val="BalloonTextChar"/>
    <w:rsid w:val="003B5B78"/>
    <w:rPr>
      <w:rFonts w:ascii="Tahoma" w:hAnsi="Tahoma" w:cs="Tahoma"/>
      <w:sz w:val="16"/>
      <w:szCs w:val="16"/>
    </w:rPr>
  </w:style>
  <w:style w:type="character" w:customStyle="1" w:styleId="BalloonTextChar">
    <w:name w:val="Balloon Text Char"/>
    <w:basedOn w:val="DefaultParagraphFont"/>
    <w:link w:val="BalloonText"/>
    <w:rsid w:val="003B5B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B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B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B78"/>
    <w:rPr>
      <w:b/>
      <w:color w:val="660033"/>
      <w:spacing w:val="0"/>
    </w:rPr>
  </w:style>
  <w:style w:type="paragraph" w:customStyle="1" w:styleId="Nameditemlist">
    <w:name w:val="Named item list"/>
    <w:basedOn w:val="BodyText"/>
    <w:qFormat/>
    <w:rsid w:val="003B5B78"/>
    <w:pPr>
      <w:tabs>
        <w:tab w:val="left" w:pos="2835"/>
      </w:tabs>
      <w:ind w:left="2835" w:hanging="2835"/>
    </w:pPr>
  </w:style>
  <w:style w:type="paragraph" w:customStyle="1" w:styleId="BodyTextnopadding">
    <w:name w:val="Body Text no padding"/>
    <w:basedOn w:val="BodyText"/>
    <w:qFormat/>
    <w:rsid w:val="003B5B78"/>
    <w:pPr>
      <w:spacing w:before="0" w:after="0"/>
    </w:pPr>
  </w:style>
  <w:style w:type="paragraph" w:customStyle="1" w:styleId="BodyTextBold">
    <w:name w:val="Body Text Bold"/>
    <w:basedOn w:val="BodyText"/>
    <w:qFormat/>
    <w:rsid w:val="003B5B78"/>
    <w:rPr>
      <w:b/>
    </w:rPr>
  </w:style>
  <w:style w:type="character" w:styleId="Hyperlink">
    <w:name w:val="Hyperlink"/>
    <w:basedOn w:val="DefaultParagraphFont"/>
    <w:uiPriority w:val="99"/>
    <w:unhideWhenUsed/>
    <w:rsid w:val="006C7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7422</Characters>
  <Application>Microsoft Office Word</Application>
  <DocSecurity>0</DocSecurity>
  <Lines>265</Lines>
  <Paragraphs>161</Paragraphs>
  <ScaleCrop>false</ScaleCrop>
  <Company>Author-it Software Corporation Ltd.</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TLIX0027 Work safely at a fuel storage and dispensing site</dc:title>
  <dc:subject>Approved</dc:subject>
  <dc:creator>Industry Skills Australia</dc:creator>
  <cp:keywords>Release: 1</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