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770" w:rsidP="000C37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TLIX0026 Work in compliance with fuel storage and dispensing site requirements</w:t>
      </w:r>
      <w:r>
        <w:fldChar w:fldCharType="end"/>
      </w:r>
    </w:p>
    <w:p w:rsidR="000C3770" w:rsidP="000C3770">
      <w:pPr>
        <w:pStyle w:val="Version"/>
        <w:sectPr w:rsidSect="005074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4A9" w:rsidP="005074A9">
      <w:pPr>
        <w:pStyle w:val="SuperHeading"/>
      </w:pPr>
      <w:r w:rsidRPr="005074A9">
        <w:t>TLIX0026 Work in compliance with fuel storage and dispensing site requirements</w:t>
      </w:r>
    </w:p>
    <w:p w:rsidR="00000000" w:rsidRPr="005074A9" w:rsidP="005074A9">
      <w:pPr>
        <w:pStyle w:val="Heading1"/>
      </w:pPr>
      <w:bookmarkStart w:id="1" w:name="O_1121532"/>
      <w:bookmarkEnd w:id="1"/>
      <w:r w:rsidRPr="005074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 w:rsidP="005074A9">
            <w:pPr>
              <w:pStyle w:val="BodyText"/>
            </w:pPr>
            <w:r w:rsidRPr="005074A9">
              <w:t>Release 1. This is the first release of this unit of competency in the TLI Transport and Logistics Training Package.</w:t>
            </w:r>
          </w:p>
        </w:tc>
      </w:tr>
    </w:tbl>
    <w:p w:rsidR="00000000" w:rsidRPr="005074A9" w:rsidP="005074A9">
      <w:pPr>
        <w:pStyle w:val="NoPaddingFontSize1"/>
      </w:pPr>
    </w:p>
    <w:p w:rsidR="00000000" w:rsidRPr="005074A9" w:rsidP="005074A9">
      <w:pPr>
        <w:pStyle w:val="AllowPageBreak"/>
      </w:pPr>
    </w:p>
    <w:p w:rsidR="00000000" w:rsidRPr="005074A9" w:rsidP="005074A9">
      <w:pPr>
        <w:pStyle w:val="Heading1"/>
      </w:pPr>
      <w:bookmarkStart w:id="2" w:name="O_1121533"/>
      <w:bookmarkEnd w:id="2"/>
      <w:r w:rsidRPr="005074A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 w:rsidP="005074A9">
            <w:pPr>
              <w:pStyle w:val="BodyText"/>
            </w:pPr>
            <w:r w:rsidRPr="005074A9">
              <w:t>This unit relates to compliance requirements applicable to work on or near fuel storage and dispensing infrastructure.</w:t>
            </w:r>
          </w:p>
          <w:p w:rsidR="00000000" w:rsidRPr="005074A9" w:rsidP="005074A9">
            <w:pPr>
              <w:pStyle w:val="BodyText"/>
            </w:pPr>
            <w:r w:rsidRPr="005074A9">
              <w:t>This includes identifying compliance requirements related to the work being conducted and work site; planning, coord</w:t>
            </w:r>
            <w:r w:rsidRPr="005074A9">
              <w:t>inating and monitoring work to ensure compliance; and completing compliance documentation and reporting.</w:t>
            </w:r>
          </w:p>
          <w:p w:rsidR="00000000" w:rsidRPr="005074A9" w:rsidP="005074A9">
            <w:pPr>
              <w:pStyle w:val="BodyText"/>
            </w:pPr>
            <w:r w:rsidRPr="005074A9">
              <w:t>The unit applies to work at sites which store and dispense diesel and motor spirit (petrol), including ethanol blends. It excludes major hazard facilit</w:t>
            </w:r>
            <w:r w:rsidRPr="005074A9">
              <w:t>ies and bulk transfer terminals.</w:t>
            </w:r>
          </w:p>
          <w:p w:rsidR="00000000" w:rsidRPr="005074A9" w:rsidP="005074A9">
            <w:pPr>
              <w:pStyle w:val="BodyText"/>
            </w:pPr>
            <w:r w:rsidRPr="005074A9">
              <w:t>This unit is appropriate for supervisors working on or near fuel storage and dispensing infrastructure.</w:t>
            </w:r>
          </w:p>
          <w:p w:rsidR="00000000" w:rsidRPr="005074A9" w:rsidP="005074A9">
            <w:pPr>
              <w:pStyle w:val="BodyText"/>
            </w:pPr>
            <w:r w:rsidRPr="005074A9">
              <w:t xml:space="preserve">Licensing, legislative or certification requirements that apply to this unit may vary between jurisdictions and should </w:t>
            </w:r>
            <w:r w:rsidRPr="005074A9">
              <w:t>be checked prior to commencing the unit.</w:t>
            </w:r>
          </w:p>
        </w:tc>
      </w:tr>
    </w:tbl>
    <w:p w:rsidR="00000000" w:rsidRPr="005074A9" w:rsidP="005074A9">
      <w:pPr>
        <w:pStyle w:val="NoPaddingFontSize1"/>
      </w:pPr>
    </w:p>
    <w:p w:rsidR="00000000" w:rsidRPr="005074A9" w:rsidP="005074A9">
      <w:pPr>
        <w:pStyle w:val="AllowPageBreak"/>
      </w:pPr>
    </w:p>
    <w:p w:rsidR="00000000" w:rsidRPr="005074A9" w:rsidP="005074A9">
      <w:pPr>
        <w:pStyle w:val="Heading1"/>
      </w:pPr>
      <w:bookmarkStart w:id="3" w:name="O_1121534"/>
      <w:bookmarkEnd w:id="3"/>
      <w:r w:rsidRPr="005074A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 w:rsidP="005074A9">
            <w:pPr>
              <w:pStyle w:val="BodyText"/>
            </w:pPr>
            <w:r w:rsidRPr="005074A9">
              <w:t>Not applicable</w:t>
            </w:r>
          </w:p>
        </w:tc>
      </w:tr>
    </w:tbl>
    <w:p w:rsidR="00000000" w:rsidRPr="005074A9" w:rsidP="005074A9">
      <w:pPr>
        <w:pStyle w:val="NoPaddingFontSize1"/>
      </w:pPr>
    </w:p>
    <w:p w:rsidR="00000000" w:rsidRPr="005074A9" w:rsidP="005074A9">
      <w:pPr>
        <w:pStyle w:val="AllowPageBreak"/>
      </w:pPr>
    </w:p>
    <w:p w:rsidR="00000000" w:rsidRPr="005074A9" w:rsidP="005074A9">
      <w:pPr>
        <w:pStyle w:val="Heading1"/>
      </w:pPr>
      <w:bookmarkStart w:id="4" w:name="O_1121535"/>
      <w:bookmarkEnd w:id="4"/>
      <w:r w:rsidRPr="005074A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 w:rsidP="005074A9">
            <w:pPr>
              <w:pStyle w:val="BodyText"/>
            </w:pPr>
            <w:r w:rsidRPr="005074A9">
              <w:t>Not applicable</w:t>
            </w:r>
          </w:p>
        </w:tc>
      </w:tr>
    </w:tbl>
    <w:p w:rsidR="00000000" w:rsidRPr="005074A9" w:rsidP="005074A9">
      <w:pPr>
        <w:pStyle w:val="NoPaddingFontSize1"/>
      </w:pPr>
    </w:p>
    <w:p w:rsidR="00000000" w:rsidRPr="005074A9" w:rsidP="005074A9">
      <w:pPr>
        <w:pStyle w:val="AllowPageBreak"/>
      </w:pPr>
    </w:p>
    <w:p w:rsidR="00000000" w:rsidRPr="005074A9" w:rsidP="005074A9">
      <w:pPr>
        <w:pStyle w:val="Heading1"/>
      </w:pPr>
      <w:bookmarkStart w:id="5" w:name="O_1121536"/>
      <w:bookmarkEnd w:id="5"/>
      <w:r w:rsidRPr="005074A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 w:rsidP="005074A9">
            <w:pPr>
              <w:pStyle w:val="BodyText"/>
            </w:pPr>
            <w:r w:rsidRPr="005074A9">
              <w:t>Not applicable</w:t>
            </w:r>
          </w:p>
        </w:tc>
      </w:tr>
    </w:tbl>
    <w:p w:rsidR="00000000" w:rsidRPr="005074A9" w:rsidP="005074A9">
      <w:pPr>
        <w:pStyle w:val="NoPaddingFontSize1"/>
      </w:pPr>
    </w:p>
    <w:p w:rsidR="00000000" w:rsidRPr="005074A9" w:rsidP="005074A9">
      <w:pPr>
        <w:pStyle w:val="AllowPageBreak"/>
      </w:pPr>
    </w:p>
    <w:p w:rsidR="00000000" w:rsidRPr="005074A9" w:rsidP="005074A9">
      <w:pPr>
        <w:pStyle w:val="Heading1"/>
      </w:pPr>
      <w:bookmarkStart w:id="6" w:name="O_1121537"/>
      <w:bookmarkEnd w:id="6"/>
      <w:r w:rsidRPr="005074A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07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 w:rsidP="005074A9">
            <w:pPr>
              <w:pStyle w:val="BodyText"/>
            </w:pPr>
            <w:r w:rsidRPr="005074A9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rPr>
                <w:rStyle w:val="SpecialBold"/>
              </w:rPr>
              <w:t>PERFORMANCE CRITERIA</w:t>
            </w:r>
          </w:p>
        </w:tc>
      </w:tr>
      <w:tr w:rsidTr="00507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t>Performance criteria describe the performance needed to demonstrate achievement of the element.</w:t>
            </w:r>
          </w:p>
        </w:tc>
      </w:tr>
      <w:tr w:rsidTr="00507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 w:rsidP="005074A9">
            <w:pPr>
              <w:pStyle w:val="BodyText"/>
            </w:pPr>
            <w:r w:rsidRPr="005074A9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 w:rsidP="005074A9">
            <w:pPr>
              <w:pStyle w:val="BodyText"/>
            </w:pPr>
            <w:r w:rsidRPr="005074A9">
              <w:rPr>
                <w:rStyle w:val="SpecialBold"/>
              </w:rPr>
              <w:t>Identify compliance requirements for a fuel storage and dispensing site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t>Scope of work is interpreted and clarified with relevant personnel in accordance with workplace procedures and site-specific requirements</w:t>
            </w:r>
          </w:p>
        </w:tc>
      </w:tr>
      <w:tr w:rsidTr="00507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t>Relevant regulation is identified, read and interpreted, and compliance requirements confirmed</w:t>
            </w:r>
          </w:p>
        </w:tc>
      </w:tr>
      <w:tr w:rsidTr="00507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t>Public safety considerations are identified, and their controls determined</w:t>
            </w:r>
          </w:p>
        </w:tc>
      </w:tr>
      <w:tr w:rsidTr="00507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t>Emergency response requirements/plans are identified</w:t>
            </w:r>
          </w:p>
        </w:tc>
      </w:tr>
      <w:tr w:rsidTr="00507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t>Relevant industry standards and codes of practice are identified, read and interpreted</w:t>
            </w:r>
          </w:p>
        </w:tc>
      </w:tr>
      <w:tr w:rsidTr="00507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t>Relevant workplace p</w:t>
            </w:r>
            <w:r w:rsidRPr="005074A9">
              <w:t>olicies and procedures are identified, read and interpreted</w:t>
            </w:r>
          </w:p>
        </w:tc>
      </w:tr>
      <w:tr w:rsidTr="00507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t>Required authorisations and permits are identified and obtained</w:t>
            </w:r>
          </w:p>
        </w:tc>
      </w:tr>
      <w:tr w:rsidTr="00507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t>Work plan that is compliant with requirements is developed</w:t>
            </w:r>
          </w:p>
        </w:tc>
      </w:tr>
      <w:tr w:rsidTr="00507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t>Tools, equipment and personal protective equipment (PPE) required for work plan are identified and arranged</w:t>
            </w:r>
          </w:p>
        </w:tc>
      </w:tr>
      <w:tr w:rsidTr="00507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rPr>
                <w:rStyle w:val="SpecialBold"/>
              </w:rPr>
              <w:t>1.10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t>Human resource requirements are identified, and competency checked against requirements</w:t>
            </w:r>
          </w:p>
        </w:tc>
      </w:tr>
      <w:tr w:rsidTr="00507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 w:rsidP="005074A9">
            <w:pPr>
              <w:pStyle w:val="BodyText"/>
            </w:pPr>
            <w:r w:rsidRPr="005074A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 w:rsidP="005074A9">
            <w:pPr>
              <w:pStyle w:val="BodyText"/>
            </w:pPr>
            <w:r w:rsidRPr="005074A9">
              <w:rPr>
                <w:rStyle w:val="SpecialBold"/>
              </w:rPr>
              <w:t>Implement compliance requirements for a fuel stor</w:t>
            </w:r>
            <w:r w:rsidRPr="005074A9">
              <w:rPr>
                <w:rStyle w:val="SpecialBold"/>
              </w:rPr>
              <w:t>age and dispensing site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t>Site is inspected, risks identified and assessed, and controls implemented</w:t>
            </w:r>
          </w:p>
        </w:tc>
      </w:tr>
      <w:tr w:rsidTr="00507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t>Site conditions are assessed and work plan adapted to ensure compliance with requirements</w:t>
            </w:r>
          </w:p>
        </w:tc>
      </w:tr>
      <w:tr w:rsidTr="00507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t>Work of other site personnel is coordinated to ensure compliance</w:t>
            </w:r>
          </w:p>
        </w:tc>
      </w:tr>
      <w:tr w:rsidTr="00507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t>Work plan is implemented in compliance with requirements</w:t>
            </w:r>
          </w:p>
        </w:tc>
      </w:tr>
      <w:tr w:rsidTr="00507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t xml:space="preserve">Site conditions are monitored and work activities coordinated to accommodate changes in conditions </w:t>
            </w:r>
          </w:p>
        </w:tc>
      </w:tr>
      <w:tr w:rsidTr="00507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t>Compliance is monitored and areas of non-compliance resolved as required</w:t>
            </w:r>
          </w:p>
        </w:tc>
      </w:tr>
      <w:tr w:rsidTr="00507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 w:rsidP="005074A9">
            <w:pPr>
              <w:pStyle w:val="BodyText"/>
            </w:pPr>
            <w:r w:rsidRPr="005074A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 w:rsidP="005074A9">
            <w:pPr>
              <w:pStyle w:val="BodyText"/>
            </w:pPr>
            <w:r w:rsidRPr="005074A9">
              <w:rPr>
                <w:rStyle w:val="SpecialBold"/>
              </w:rPr>
              <w:t>Complete compliance documentation and reporting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t>Work is completed in compliance with requirements</w:t>
            </w:r>
          </w:p>
        </w:tc>
      </w:tr>
      <w:tr w:rsidTr="00507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t>Required compliance documentation and reporting are completed</w:t>
            </w:r>
          </w:p>
        </w:tc>
      </w:tr>
      <w:tr w:rsidTr="00507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t>Si</w:t>
            </w:r>
            <w:r w:rsidRPr="005074A9">
              <w:t>te handover to relevant person/s is completed in accordance with workplace procedures</w:t>
            </w:r>
          </w:p>
        </w:tc>
      </w:tr>
      <w:tr w:rsidTr="00507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4A9">
            <w:pPr>
              <w:pStyle w:val="BodyText"/>
              <w:rPr>
                <w:lang w:val="en-NZ"/>
              </w:rPr>
            </w:pPr>
            <w:r w:rsidRPr="005074A9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 w:rsidP="005074A9">
            <w:pPr>
              <w:pStyle w:val="BodyText"/>
            </w:pPr>
            <w:r w:rsidRPr="005074A9">
              <w:t>Authorities are advised of work completion in accordance with regulatory requirements</w:t>
            </w:r>
          </w:p>
        </w:tc>
      </w:tr>
    </w:tbl>
    <w:p w:rsidR="00000000" w:rsidRPr="005074A9" w:rsidP="005074A9">
      <w:pPr>
        <w:pStyle w:val="NoPaddingFontSize1"/>
      </w:pPr>
    </w:p>
    <w:p w:rsidR="00000000" w:rsidRPr="005074A9" w:rsidP="005074A9">
      <w:pPr>
        <w:pStyle w:val="AllowPageBreak"/>
      </w:pPr>
    </w:p>
    <w:p w:rsidR="00000000" w:rsidRPr="005074A9" w:rsidP="005074A9">
      <w:pPr>
        <w:pStyle w:val="Heading1"/>
      </w:pPr>
      <w:bookmarkStart w:id="7" w:name="O_1121538"/>
      <w:bookmarkEnd w:id="7"/>
      <w:r w:rsidRPr="005074A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 w:rsidP="005074A9">
            <w:pPr>
              <w:pStyle w:val="BodyText"/>
            </w:pPr>
            <w:r w:rsidRPr="005074A9">
              <w:t>Foundation skills essential to performance are explicit in the performance criteria of this unit of competency.</w:t>
            </w:r>
          </w:p>
        </w:tc>
      </w:tr>
    </w:tbl>
    <w:p w:rsidR="00000000" w:rsidRPr="005074A9" w:rsidP="005074A9">
      <w:pPr>
        <w:pStyle w:val="NoPaddingFontSize1"/>
      </w:pPr>
    </w:p>
    <w:p w:rsidR="00000000" w:rsidRPr="005074A9" w:rsidP="005074A9">
      <w:pPr>
        <w:pStyle w:val="AllowPageBreak"/>
      </w:pPr>
    </w:p>
    <w:p w:rsidR="00000000" w:rsidRPr="005074A9" w:rsidP="005074A9">
      <w:pPr>
        <w:pStyle w:val="Heading1"/>
      </w:pPr>
      <w:bookmarkStart w:id="8" w:name="O_1121539"/>
      <w:bookmarkEnd w:id="8"/>
      <w:r w:rsidRPr="005074A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 w:rsidP="005074A9">
            <w:pPr>
              <w:pStyle w:val="BodyText"/>
            </w:pPr>
            <w:r w:rsidRPr="005074A9">
              <w:t>Range is restricted to essential operating conditions and any other variables essential to the work env</w:t>
            </w:r>
            <w:r w:rsidRPr="005074A9">
              <w:t>ironment.</w:t>
            </w:r>
          </w:p>
          <w:p w:rsidR="00000000" w:rsidRPr="005074A9" w:rsidP="005074A9">
            <w:pPr>
              <w:pStyle w:val="BodyText"/>
            </w:pPr>
            <w:r w:rsidRPr="005074A9">
              <w:t>Non-essential conditions may be found in the TLI Transport and Logistics Training Package Companion Volume Implementation Guide.</w:t>
            </w:r>
          </w:p>
          <w:p w:rsidR="00000000" w:rsidRPr="005074A9" w:rsidP="005074A9">
            <w:pPr>
              <w:pStyle w:val="BodyText"/>
            </w:pPr>
            <w:r w:rsidRPr="005074A9">
              <w:t>This unit must be demonstrated at site/s which store and dispense diesel and motor spirit (petrol), including ethanol</w:t>
            </w:r>
            <w:r w:rsidRPr="005074A9">
              <w:t xml:space="preserve"> blends; excluding major hazard facilities and bulk transfer terminals.</w:t>
            </w:r>
          </w:p>
        </w:tc>
      </w:tr>
    </w:tbl>
    <w:p w:rsidR="00000000" w:rsidRPr="005074A9" w:rsidP="005074A9">
      <w:pPr>
        <w:pStyle w:val="NoPaddingFontSize1"/>
      </w:pPr>
    </w:p>
    <w:p w:rsidR="00000000" w:rsidRPr="005074A9" w:rsidP="005074A9">
      <w:pPr>
        <w:pStyle w:val="AllowPageBreak"/>
      </w:pPr>
    </w:p>
    <w:p w:rsidR="00000000" w:rsidRPr="005074A9" w:rsidP="005074A9">
      <w:pPr>
        <w:pStyle w:val="Heading1"/>
      </w:pPr>
      <w:bookmarkStart w:id="9" w:name="O_1121540"/>
      <w:bookmarkEnd w:id="9"/>
      <w:r w:rsidRPr="005074A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4A9" w:rsidP="005074A9">
            <w:pPr>
              <w:pStyle w:val="BodyText"/>
            </w:pPr>
            <w:r w:rsidRPr="005074A9">
              <w:t>This is a new unit. No equivalent unit.</w:t>
            </w:r>
          </w:p>
        </w:tc>
      </w:tr>
    </w:tbl>
    <w:p w:rsidR="00000000" w:rsidRPr="005074A9" w:rsidP="005074A9">
      <w:pPr>
        <w:pStyle w:val="NoPaddingFontSize1"/>
      </w:pPr>
    </w:p>
    <w:p w:rsidR="00000000" w:rsidRPr="005074A9" w:rsidP="005074A9">
      <w:pPr>
        <w:pStyle w:val="AllowPageBreak"/>
      </w:pPr>
    </w:p>
    <w:p w:rsidR="00000000" w:rsidRPr="005074A9" w:rsidP="005074A9">
      <w:pPr>
        <w:pStyle w:val="Heading1"/>
      </w:pPr>
      <w:bookmarkStart w:id="10" w:name="O_1121547"/>
      <w:bookmarkEnd w:id="10"/>
      <w:r w:rsidRPr="005074A9">
        <w:t>Links</w:t>
      </w:r>
    </w:p>
    <w:p w:rsidR="00000000" w:rsidRPr="005074A9" w:rsidP="000C3770">
      <w:pPr>
        <w:pStyle w:val="BodyText"/>
      </w:pPr>
      <w:r w:rsidRPr="005074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5745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074A9" w:rsidP="005074A9"/>
    <w:sectPr w:rsidSect="005074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4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4A9" w:rsidRPr="000C3770" w:rsidP="000C37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4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770" w:rsidP="005074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3770" w:rsidP="005074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C3770" w:rsidP="005074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4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7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4A9" w:rsidRPr="000C3770" w:rsidP="000C37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4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770" w:rsidRPr="002D2AF8" w:rsidP="005074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TLIX0026 Work in compliance with fuel storage and dispensing site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C3770" w:rsidP="005074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4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4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4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4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4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4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4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4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4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4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4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4A9"/>
  </w:style>
  <w:style w:type="character" w:customStyle="1" w:styleId="Heading1Char">
    <w:name w:val="Heading 1 Char"/>
    <w:basedOn w:val="DefaultParagraphFont"/>
    <w:link w:val="Heading1"/>
    <w:rsid w:val="005074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4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4A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074A9"/>
    <w:rPr>
      <w:b/>
      <w:spacing w:val="0"/>
    </w:rPr>
  </w:style>
  <w:style w:type="paragraph" w:customStyle="1" w:styleId="SuperHeading">
    <w:name w:val="SuperHeading"/>
    <w:basedOn w:val="Normal"/>
    <w:rsid w:val="005074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4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74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4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4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4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4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4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4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4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4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4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4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4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4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4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4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74A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074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74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4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4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74A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74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4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4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4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4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4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4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4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4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74A9"/>
    <w:rPr>
      <w:i/>
    </w:rPr>
  </w:style>
  <w:style w:type="paragraph" w:styleId="Caption">
    <w:name w:val="caption"/>
    <w:basedOn w:val="BodyText"/>
    <w:next w:val="Normal"/>
    <w:qFormat/>
    <w:rsid w:val="005074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4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4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4A9"/>
  </w:style>
  <w:style w:type="paragraph" w:styleId="TableofFigures">
    <w:name w:val="table of figures"/>
    <w:basedOn w:val="Normal"/>
    <w:next w:val="Normal"/>
    <w:semiHidden/>
    <w:rsid w:val="005074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4A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074A9"/>
    <w:rPr>
      <w:rFonts w:ascii="Wingdings" w:hAnsi="Wingdings"/>
    </w:rPr>
  </w:style>
  <w:style w:type="paragraph" w:customStyle="1" w:styleId="TableHeading">
    <w:name w:val="Table Heading"/>
    <w:basedOn w:val="HeadingBase"/>
    <w:rsid w:val="005074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4A9"/>
    <w:rPr>
      <w:color w:val="0033CC"/>
      <w:u w:val="none"/>
    </w:rPr>
  </w:style>
  <w:style w:type="paragraph" w:customStyle="1" w:styleId="BodyTextRight">
    <w:name w:val="Body Text Right"/>
    <w:basedOn w:val="BodyText"/>
    <w:rsid w:val="005074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4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4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4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4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4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4A9"/>
    <w:rPr>
      <w:sz w:val="32"/>
    </w:rPr>
  </w:style>
  <w:style w:type="paragraph" w:customStyle="1" w:styleId="HeadingProcedure">
    <w:name w:val="Heading Procedure"/>
    <w:basedOn w:val="HeadingBase"/>
    <w:next w:val="Normal"/>
    <w:rsid w:val="005074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4A9"/>
    <w:pPr>
      <w:spacing w:before="60" w:after="60"/>
    </w:pPr>
  </w:style>
  <w:style w:type="paragraph" w:styleId="ListContinue">
    <w:name w:val="List Continue"/>
    <w:basedOn w:val="List"/>
    <w:rsid w:val="005074A9"/>
    <w:pPr>
      <w:ind w:firstLine="0"/>
    </w:pPr>
  </w:style>
  <w:style w:type="paragraph" w:customStyle="1" w:styleId="ListNote">
    <w:name w:val="List Note"/>
    <w:basedOn w:val="List"/>
    <w:rsid w:val="005074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4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4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4A9"/>
    <w:rPr>
      <w:rFonts w:ascii="Courier New" w:hAnsi="Courier New"/>
    </w:rPr>
  </w:style>
  <w:style w:type="paragraph" w:customStyle="1" w:styleId="NoteBullet">
    <w:name w:val="Note Bullet"/>
    <w:basedOn w:val="Note"/>
    <w:rsid w:val="005074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4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4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4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4A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074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4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4A9"/>
    <w:rPr>
      <w:b/>
      <w:smallCaps/>
    </w:rPr>
  </w:style>
  <w:style w:type="paragraph" w:customStyle="1" w:styleId="TableListNumber">
    <w:name w:val="Table List Number"/>
    <w:basedOn w:val="ListNumber"/>
    <w:rsid w:val="005074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4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4A9"/>
    <w:pPr>
      <w:numPr>
        <w:numId w:val="7"/>
      </w:numPr>
    </w:pPr>
  </w:style>
  <w:style w:type="paragraph" w:customStyle="1" w:styleId="ListAlpha2">
    <w:name w:val="List Alpha 2"/>
    <w:basedOn w:val="List2"/>
    <w:rsid w:val="005074A9"/>
    <w:pPr>
      <w:numPr>
        <w:numId w:val="6"/>
      </w:numPr>
    </w:pPr>
  </w:style>
  <w:style w:type="paragraph" w:styleId="List2">
    <w:name w:val="List 2"/>
    <w:basedOn w:val="BodyText"/>
    <w:rsid w:val="005074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4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4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4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4A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4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074A9"/>
    <w:pPr>
      <w:numPr>
        <w:numId w:val="2"/>
      </w:numPr>
    </w:pPr>
  </w:style>
  <w:style w:type="paragraph" w:styleId="ListContinue2">
    <w:name w:val="List Continue 2"/>
    <w:basedOn w:val="List2"/>
    <w:rsid w:val="005074A9"/>
    <w:pPr>
      <w:ind w:firstLine="0"/>
    </w:pPr>
  </w:style>
  <w:style w:type="paragraph" w:styleId="ListContinue3">
    <w:name w:val="List Continue 3"/>
    <w:basedOn w:val="List3"/>
    <w:rsid w:val="005074A9"/>
    <w:pPr>
      <w:ind w:left="1021" w:firstLine="0"/>
    </w:pPr>
  </w:style>
  <w:style w:type="paragraph" w:styleId="ListContinue4">
    <w:name w:val="List Continue 4"/>
    <w:basedOn w:val="List4"/>
    <w:rsid w:val="005074A9"/>
    <w:pPr>
      <w:ind w:firstLine="0"/>
    </w:pPr>
  </w:style>
  <w:style w:type="paragraph" w:styleId="ListContinue5">
    <w:name w:val="List Continue 5"/>
    <w:basedOn w:val="List5"/>
    <w:rsid w:val="005074A9"/>
    <w:pPr>
      <w:ind w:firstLine="0"/>
    </w:pPr>
  </w:style>
  <w:style w:type="paragraph" w:styleId="ListNumber3">
    <w:name w:val="List Number 3"/>
    <w:basedOn w:val="List3"/>
    <w:rsid w:val="005074A9"/>
    <w:pPr>
      <w:numPr>
        <w:numId w:val="3"/>
      </w:numPr>
    </w:pPr>
  </w:style>
  <w:style w:type="paragraph" w:styleId="ListNumber4">
    <w:name w:val="List Number 4"/>
    <w:basedOn w:val="List4"/>
    <w:rsid w:val="005074A9"/>
    <w:pPr>
      <w:numPr>
        <w:numId w:val="4"/>
      </w:numPr>
    </w:pPr>
  </w:style>
  <w:style w:type="paragraph" w:styleId="ListNumber5">
    <w:name w:val="List Number 5"/>
    <w:basedOn w:val="List5"/>
    <w:rsid w:val="005074A9"/>
    <w:pPr>
      <w:numPr>
        <w:numId w:val="5"/>
      </w:numPr>
    </w:pPr>
  </w:style>
  <w:style w:type="paragraph" w:styleId="BlockText">
    <w:name w:val="Block Text"/>
    <w:basedOn w:val="Normal"/>
    <w:rsid w:val="005074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4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4A9"/>
    <w:rPr>
      <w:sz w:val="16"/>
      <w:vertAlign w:val="superscript"/>
    </w:rPr>
  </w:style>
  <w:style w:type="character" w:customStyle="1" w:styleId="Symbols">
    <w:name w:val="Symbols"/>
    <w:basedOn w:val="DefaultParagraphFont"/>
    <w:rsid w:val="005074A9"/>
    <w:rPr>
      <w:rFonts w:ascii="Symbol" w:hAnsi="Symbol"/>
    </w:rPr>
  </w:style>
  <w:style w:type="character" w:customStyle="1" w:styleId="MenuOptions">
    <w:name w:val="Menu Options"/>
    <w:basedOn w:val="DefaultParagraphFont"/>
    <w:rsid w:val="005074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4A9"/>
    <w:rPr>
      <w:b/>
    </w:rPr>
  </w:style>
  <w:style w:type="character" w:customStyle="1" w:styleId="Underlined">
    <w:name w:val="Underlined"/>
    <w:basedOn w:val="DefaultParagraphFont"/>
    <w:rsid w:val="005074A9"/>
    <w:rPr>
      <w:u w:val="single"/>
    </w:rPr>
  </w:style>
  <w:style w:type="paragraph" w:customStyle="1" w:styleId="TableBodyTextRight">
    <w:name w:val="Table Body Text Right"/>
    <w:basedOn w:val="TableBodyText"/>
    <w:rsid w:val="005074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4A9"/>
    <w:rPr>
      <w:sz w:val="18"/>
    </w:rPr>
  </w:style>
  <w:style w:type="paragraph" w:customStyle="1" w:styleId="BodySmallRight">
    <w:name w:val="Body Small Right"/>
    <w:basedOn w:val="BodyTextRight"/>
    <w:rsid w:val="005074A9"/>
    <w:rPr>
      <w:sz w:val="18"/>
      <w:szCs w:val="18"/>
    </w:rPr>
  </w:style>
  <w:style w:type="paragraph" w:customStyle="1" w:styleId="MarginEdition">
    <w:name w:val="Margin Edition"/>
    <w:basedOn w:val="MarginNote"/>
    <w:rsid w:val="005074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4A9"/>
    <w:rPr>
      <w:sz w:val="2"/>
      <w:szCs w:val="2"/>
    </w:rPr>
  </w:style>
  <w:style w:type="character" w:customStyle="1" w:styleId="Small">
    <w:name w:val="Small"/>
    <w:basedOn w:val="DefaultParagraphFont"/>
    <w:rsid w:val="005074A9"/>
    <w:rPr>
      <w:sz w:val="16"/>
    </w:rPr>
  </w:style>
  <w:style w:type="paragraph" w:customStyle="1" w:styleId="WideTable">
    <w:name w:val="Wide Table"/>
    <w:basedOn w:val="Normal"/>
    <w:rsid w:val="005074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4A9"/>
  </w:style>
  <w:style w:type="paragraph" w:styleId="Quote">
    <w:name w:val="Quote"/>
    <w:basedOn w:val="Heading1"/>
    <w:link w:val="QuoteChar"/>
    <w:qFormat/>
    <w:rsid w:val="005074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4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4A9"/>
    <w:pPr>
      <w:pageBreakBefore/>
    </w:pPr>
  </w:style>
  <w:style w:type="paragraph" w:customStyle="1" w:styleId="Border">
    <w:name w:val="Border"/>
    <w:basedOn w:val="Normal"/>
    <w:qFormat/>
    <w:rsid w:val="005074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4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4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4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4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4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4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4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4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4A9"/>
    <w:rPr>
      <w:u w:val="single"/>
    </w:rPr>
  </w:style>
  <w:style w:type="character" w:customStyle="1" w:styleId="BoldandItalics">
    <w:name w:val="Bold and Italics"/>
    <w:qFormat/>
    <w:rsid w:val="005074A9"/>
    <w:rPr>
      <w:b/>
      <w:i/>
      <w:u w:val="none"/>
    </w:rPr>
  </w:style>
  <w:style w:type="paragraph" w:styleId="BalloonText">
    <w:name w:val="Balloon Text"/>
    <w:basedOn w:val="Normal"/>
    <w:link w:val="BalloonTextChar"/>
    <w:rsid w:val="00507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4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4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4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4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4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4A9"/>
    <w:pPr>
      <w:spacing w:before="0" w:after="0"/>
    </w:pPr>
  </w:style>
  <w:style w:type="paragraph" w:customStyle="1" w:styleId="BodyTextBold">
    <w:name w:val="Body Text Bold"/>
    <w:basedOn w:val="BodyText"/>
    <w:qFormat/>
    <w:rsid w:val="005074A9"/>
    <w:rPr>
      <w:b/>
    </w:rPr>
  </w:style>
  <w:style w:type="character" w:styleId="Hyperlink">
    <w:name w:val="Hyperlink"/>
    <w:basedOn w:val="DefaultParagraphFont"/>
    <w:uiPriority w:val="99"/>
    <w:unhideWhenUsed/>
    <w:rsid w:val="000C37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3739</Characters>
  <Application>Microsoft Office Word</Application>
  <DocSecurity>0</DocSecurity>
  <Lines>186</Lines>
  <Paragraphs>94</Paragraphs>
  <ScaleCrop>false</ScaleCrop>
  <Company>Author-it Software Corporation Ltd.</Company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TLIX0026 Work in compliance with fuel storage and dispensing site requirements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2024-07-12T08:04:00Z</dcterms:created>
  <dcterms:modified xsi:type="dcterms:W3CDTF">2024-07-12T08:04:00Z</dcterms:modified>
</cp:coreProperties>
</file>