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F6C" w:rsidP="004F5F6C">
      <w:pPr>
        <w:pStyle w:val="Title"/>
      </w:pPr>
      <w:r>
        <w:fldChar w:fldCharType="begin"/>
      </w:r>
      <w:r>
        <w:instrText xml:space="preserve"> TITLE   \* MERGEFORMAT </w:instrText>
      </w:r>
      <w:r>
        <w:fldChar w:fldCharType="separate"/>
      </w:r>
      <w:r>
        <w:t>TLIX0026 Work in compliance with fuel storage and dispensing site requirements</w:t>
      </w:r>
      <w:r>
        <w:fldChar w:fldCharType="end"/>
      </w:r>
    </w:p>
    <w:p w:rsidR="004F5F6C" w:rsidP="004F5F6C">
      <w:pPr>
        <w:pStyle w:val="Version"/>
        <w:sectPr w:rsidSect="00210E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EE1" w:rsidP="00210EE1">
      <w:pPr>
        <w:pStyle w:val="SuperHeading"/>
      </w:pPr>
      <w:r w:rsidRPr="00210EE1">
        <w:t>TLIX0026 Work in compliance with fuel storage and dispensing site requirements</w:t>
      </w:r>
    </w:p>
    <w:p w:rsidR="00000000" w:rsidRPr="00210EE1" w:rsidP="00210EE1">
      <w:pPr>
        <w:pStyle w:val="Heading1"/>
      </w:pPr>
      <w:bookmarkStart w:id="1" w:name="O_1121532"/>
      <w:bookmarkEnd w:id="1"/>
      <w:r w:rsidRPr="00210EE1">
        <w:t>Modification History</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Release 1. This is the first release of this unit of competency in the TLI Transport and Logistics Training Package.</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2" w:name="O_1121533"/>
      <w:bookmarkEnd w:id="2"/>
      <w:r w:rsidRPr="00210EE1">
        <w:t>Application</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This unit relates to compliance requirements applicable to work on or near fuel storage and dispensing infrastructure.</w:t>
            </w:r>
          </w:p>
          <w:p w:rsidR="00000000" w:rsidRPr="00210EE1" w:rsidP="00210EE1">
            <w:pPr>
              <w:pStyle w:val="BodyText"/>
            </w:pPr>
            <w:r w:rsidRPr="00210EE1">
              <w:t>This includes identifying compliance requirements related to the work being conducted and work site; planning, coord</w:t>
            </w:r>
            <w:r w:rsidRPr="00210EE1">
              <w:t>inating and monitoring work to ensure compliance; and completing compliance documentation and reporting.</w:t>
            </w:r>
          </w:p>
          <w:p w:rsidR="00000000" w:rsidRPr="00210EE1" w:rsidP="00210EE1">
            <w:pPr>
              <w:pStyle w:val="BodyText"/>
            </w:pPr>
            <w:r w:rsidRPr="00210EE1">
              <w:t>The unit applies to work at sites which store and dispense diesel and motor spirit (petrol), including ethanol blends. It excludes major hazard facilit</w:t>
            </w:r>
            <w:r w:rsidRPr="00210EE1">
              <w:t>ies and bulk transfer terminals.</w:t>
            </w:r>
          </w:p>
          <w:p w:rsidR="00000000" w:rsidRPr="00210EE1" w:rsidP="00210EE1">
            <w:pPr>
              <w:pStyle w:val="BodyText"/>
            </w:pPr>
            <w:r w:rsidRPr="00210EE1">
              <w:t>This unit is appropriate for supervisors working on or near fuel storage and dispensing infrastructure.</w:t>
            </w:r>
          </w:p>
          <w:p w:rsidR="00000000" w:rsidRPr="00210EE1" w:rsidP="00210EE1">
            <w:pPr>
              <w:pStyle w:val="BodyText"/>
            </w:pPr>
            <w:r w:rsidRPr="00210EE1">
              <w:t xml:space="preserve">Licensing, legislative or certification requirements that apply to this unit may vary between jurisdictions and should </w:t>
            </w:r>
            <w:r w:rsidRPr="00210EE1">
              <w:t>be checked prior to commencing the unit.</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3" w:name="O_1121534"/>
      <w:bookmarkEnd w:id="3"/>
      <w:r w:rsidRPr="00210EE1">
        <w:t>Pre-requisite Unit</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Not applicable</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4" w:name="O_1121535"/>
      <w:bookmarkEnd w:id="4"/>
      <w:r w:rsidRPr="00210EE1">
        <w:t>Competency Field</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Not applicable</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5" w:name="O_1121536"/>
      <w:bookmarkEnd w:id="5"/>
      <w:r w:rsidRPr="00210EE1">
        <w:t>Unit Sector</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Not applicable</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6" w:name="O_1121537"/>
      <w:bookmarkEnd w:id="6"/>
      <w:r w:rsidRPr="00210EE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10EE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PERFORMANCE CRITERIA</w:t>
            </w:r>
          </w:p>
        </w:tc>
      </w:tr>
      <w:tr w:rsidTr="00210EE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Performance criteria describe the performance needed to demonstrate achievement of the element.</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rPr>
                <w:rStyle w:val="SpecialBold"/>
              </w:rPr>
              <w:t>Identify compliance requirements for a fuel storage and dispensing site</w:t>
            </w: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Scope of work is interpreted and clarified with relevant personnel in accordance with workplace procedures and site-specific requirements</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Relevant regulation is identified, read and interpreted, and compliance requirements confirmed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Public safety considerations are identified, and their controls determined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Emergency response requirements/plans are identified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Relevant industry standards and codes of practice are identified, read and interpreted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Relevant workplace p</w:t>
            </w:r>
            <w:r w:rsidRPr="00210EE1">
              <w:t>olicies and procedures are identified, read and interpreted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Required authorisations and permits are identified and obtained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Work plan that is compliant with requirements is developed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Tools, equipment and personal protective equipment (PPE) required for work plan are identified and arranged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Human resource requirements are identified, and competency checked against requirements</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rPr>
                <w:rStyle w:val="SpecialBold"/>
              </w:rPr>
              <w:t>Implement compliance requirements for a fuel stor</w:t>
            </w:r>
            <w:r w:rsidRPr="00210EE1">
              <w:rPr>
                <w:rStyle w:val="SpecialBold"/>
              </w:rPr>
              <w:t>age and dispensing site</w:t>
            </w: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Site is inspected, risks identified and assessed, and controls implemented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Site conditions are assessed and work plan adapted to ensure compliance with requirements</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Work of other site personnel is coordinated to ensure compliance</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Work plan is implemented in compliance with requirements</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 xml:space="preserve">Site conditions are monitored and work activities coordinated to accommodate changes in conditions </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Compliance is monitored and areas of non-compliance resolved as required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rPr>
                <w:rStyle w:val="SpecialBold"/>
              </w:rPr>
              <w:t>Complete compliance documentation and reporting</w:t>
            </w: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Work is completed in compliance with requirements</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Required compliance documentation and reporting are completed</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Si</w:t>
            </w:r>
            <w:r w:rsidRPr="00210EE1">
              <w:t>te handover to relevant person/s is completed in accordance with workplace procedures</w:t>
            </w:r>
          </w:p>
        </w:tc>
      </w:tr>
      <w:tr w:rsidTr="00210EE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0E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Authorities are advised of work completion in accordance with regulatory requirements</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7" w:name="O_1121538"/>
      <w:bookmarkEnd w:id="7"/>
      <w:r w:rsidRPr="00210EE1">
        <w:t>Foundation Skills</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Foundation skills essential to performance are explicit in the performance criteria of this unit of competency.</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8" w:name="O_1121539"/>
      <w:bookmarkEnd w:id="8"/>
      <w:r w:rsidRPr="00210EE1">
        <w:t>Range of Conditions</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Range is restricted to essential operating conditions and any other variables essential to the work env</w:t>
            </w:r>
            <w:r w:rsidRPr="00210EE1">
              <w:t>ironment.</w:t>
            </w:r>
          </w:p>
          <w:p w:rsidR="00000000" w:rsidRPr="00210EE1" w:rsidP="00210EE1">
            <w:pPr>
              <w:pStyle w:val="BodyText"/>
            </w:pPr>
            <w:r w:rsidRPr="00210EE1">
              <w:t>Non-essential conditions may be found in the TLI Transport and Logistics Training Package Companion Volume Implementation Guide.</w:t>
            </w:r>
          </w:p>
          <w:p w:rsidR="00000000" w:rsidRPr="00210EE1" w:rsidP="00210EE1">
            <w:pPr>
              <w:pStyle w:val="BodyText"/>
            </w:pPr>
            <w:r w:rsidRPr="00210EE1">
              <w:t>This unit must be demonstrated at site/s which store and dispense diesel and motor spirit (petrol), including ethanol</w:t>
            </w:r>
            <w:r w:rsidRPr="00210EE1">
              <w:t xml:space="preserve"> blends; excluding major hazard facilities and bulk transfer terminals.</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9" w:name="O_1121540"/>
      <w:bookmarkEnd w:id="9"/>
      <w:r w:rsidRPr="00210EE1">
        <w:t>Unit Mapping Information</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This is a new unit. No equivalent unit.</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10" w:name="O_1121547"/>
      <w:bookmarkEnd w:id="10"/>
      <w:r w:rsidRPr="00210EE1">
        <w:t>Links</w:t>
      </w:r>
    </w:p>
    <w:p w:rsidR="00000000" w:rsidRPr="00210EE1" w:rsidP="004F5F6C">
      <w:pPr>
        <w:pStyle w:val="BodyText"/>
      </w:pPr>
      <w:r w:rsidRPr="00210EE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E2199">
        <w:rPr>
          <w:rStyle w:val="Hyperlink"/>
        </w:rPr>
        <w:t>https://vetnet.gov.au/Pages/TrainingDocs.aspx?q=df441c6e-213d-43e3-874c-0b3f7036d851</w:t>
      </w:r>
      <w:r>
        <w:fldChar w:fldCharType="end"/>
      </w:r>
    </w:p>
    <w:p w:rsidR="00000000" w:rsidRPr="00210EE1" w:rsidP="004F5F6C">
      <w:pPr>
        <w:pStyle w:val="BodyText"/>
        <w:sectPr w:rsidSect="00210EE1">
          <w:headerReference w:type="default" r:id="rId10"/>
          <w:footerReference w:type="default" r:id="rId11"/>
          <w:pgSz w:w="11908" w:h="16833"/>
          <w:pgMar w:top="1702" w:right="1418" w:bottom="1702" w:left="1418" w:header="992" w:footer="992" w:gutter="0"/>
          <w:cols w:space="720"/>
          <w:noEndnote/>
          <w:docGrid w:linePitch="299"/>
        </w:sectPr>
      </w:pPr>
    </w:p>
    <w:p w:rsidR="00000000" w:rsidRPr="00210EE1" w:rsidP="00210EE1">
      <w:pPr>
        <w:pStyle w:val="SuperHeading"/>
      </w:pPr>
      <w:r w:rsidRPr="00210EE1">
        <w:t>Assessment Requirements for TLIX0026 Work in compliance with fu</w:t>
      </w:r>
      <w:r w:rsidRPr="00210EE1">
        <w:t>el storage and dispensing site requirements</w:t>
      </w:r>
    </w:p>
    <w:p w:rsidR="00000000" w:rsidRPr="00210EE1" w:rsidP="00210EE1">
      <w:pPr>
        <w:pStyle w:val="Heading1"/>
      </w:pPr>
      <w:bookmarkStart w:id="11" w:name="O_1121542"/>
      <w:bookmarkEnd w:id="11"/>
      <w:r w:rsidRPr="00210EE1">
        <w:t>Modification History</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Release 1. This is the first release of this unit of competency in the TLI Transport and Logistics Training Package.</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12" w:name="O_1121543"/>
      <w:bookmarkEnd w:id="12"/>
      <w:r w:rsidRPr="00210EE1">
        <w:t>Performance Evidence</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Evidence requi</w:t>
            </w:r>
            <w:r w:rsidRPr="00210EE1">
              <w:t xml:space="preserve">red to demonstrate competence in this unit must be relevant to and satisfy all of the requirements of the elements, performance criteria and range of conditions on at least two separate occasions and include: </w:t>
            </w:r>
          </w:p>
        </w:tc>
      </w:tr>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ListBullet"/>
            </w:pPr>
            <w:r w:rsidRPr="00210EE1">
              <w:t>communicating with relevant person/s to obta</w:t>
            </w:r>
            <w:r w:rsidRPr="00210EE1">
              <w:t>in and confirm work requirements</w:t>
            </w:r>
          </w:p>
          <w:p w:rsidR="00000000" w:rsidRPr="00210EE1" w:rsidP="00210EE1">
            <w:pPr>
              <w:pStyle w:val="ListBullet"/>
            </w:pPr>
            <w:r w:rsidRPr="00210EE1">
              <w:t>identifying, locating, interpreting and applying relevant information to ensure work is completed in accordance with compliance requirements, including:</w:t>
            </w:r>
          </w:p>
          <w:p w:rsidR="00000000" w:rsidRPr="00210EE1" w:rsidP="00210EE1">
            <w:pPr>
              <w:pStyle w:val="ListBullet2"/>
            </w:pPr>
            <w:r w:rsidRPr="00210EE1">
              <w:t>regulation/legislation</w:t>
            </w:r>
          </w:p>
          <w:p w:rsidR="00000000" w:rsidRPr="00210EE1" w:rsidP="00210EE1">
            <w:pPr>
              <w:pStyle w:val="ListBullet2"/>
            </w:pPr>
            <w:r w:rsidRPr="00210EE1">
              <w:t>workplace policies and procedures</w:t>
            </w:r>
          </w:p>
          <w:p w:rsidR="00000000" w:rsidRPr="00210EE1" w:rsidP="00210EE1">
            <w:pPr>
              <w:pStyle w:val="ListBullet2"/>
            </w:pPr>
            <w:r w:rsidRPr="00210EE1">
              <w:t>workplace emergency procedures</w:t>
            </w:r>
          </w:p>
          <w:p w:rsidR="00000000" w:rsidRPr="00210EE1" w:rsidP="00210EE1">
            <w:pPr>
              <w:pStyle w:val="ListBullet2"/>
            </w:pPr>
            <w:r w:rsidRPr="00210EE1">
              <w:t>safety Act/s</w:t>
            </w:r>
          </w:p>
          <w:p w:rsidR="00000000" w:rsidRPr="00210EE1" w:rsidP="00210EE1">
            <w:pPr>
              <w:pStyle w:val="ListBullet2"/>
            </w:pPr>
            <w:r w:rsidRPr="00210EE1">
              <w:t>industry standards</w:t>
            </w:r>
          </w:p>
          <w:p w:rsidR="00000000" w:rsidRPr="00210EE1" w:rsidP="00210EE1">
            <w:pPr>
              <w:pStyle w:val="ListBullet2"/>
            </w:pPr>
            <w:r w:rsidRPr="00210EE1">
              <w:t>local Development Approval (DA) conditions</w:t>
            </w:r>
          </w:p>
          <w:p w:rsidR="00000000" w:rsidRPr="00210EE1" w:rsidP="00210EE1">
            <w:pPr>
              <w:pStyle w:val="ListBullet2"/>
            </w:pPr>
            <w:r w:rsidRPr="00210EE1">
              <w:t>environmental protection requirements</w:t>
            </w:r>
          </w:p>
          <w:p w:rsidR="00000000" w:rsidRPr="00210EE1" w:rsidP="00210EE1">
            <w:pPr>
              <w:pStyle w:val="ListBullet2"/>
            </w:pPr>
            <w:r w:rsidRPr="00210EE1">
              <w:t>codes of practice</w:t>
            </w:r>
          </w:p>
          <w:p w:rsidR="00000000" w:rsidRPr="00210EE1" w:rsidP="00210EE1">
            <w:pPr>
              <w:pStyle w:val="ListBullet"/>
            </w:pPr>
            <w:r w:rsidRPr="00210EE1">
              <w:t>undertaking a site-specific risk assessment and producing a job safety analysis (JSA), safe w</w:t>
            </w:r>
            <w:r w:rsidRPr="00210EE1">
              <w:t>ork procedures (SWP) or safe work method statement (SWMS)</w:t>
            </w:r>
          </w:p>
          <w:p w:rsidR="00000000" w:rsidRPr="00210EE1" w:rsidP="00210EE1">
            <w:pPr>
              <w:pStyle w:val="ListBullet"/>
            </w:pPr>
            <w:r w:rsidRPr="00210EE1">
              <w:t>identifying human resource requirements and checking competency against requirements</w:t>
            </w:r>
          </w:p>
          <w:p w:rsidR="00000000" w:rsidRPr="00210EE1" w:rsidP="00210EE1">
            <w:pPr>
              <w:pStyle w:val="ListBullet"/>
            </w:pPr>
            <w:r w:rsidRPr="00210EE1">
              <w:t>identifying and obtaining required authorisations and/or permits</w:t>
            </w:r>
          </w:p>
          <w:p w:rsidR="00000000" w:rsidRPr="00210EE1" w:rsidP="00210EE1">
            <w:pPr>
              <w:pStyle w:val="ListBullet"/>
            </w:pPr>
            <w:r w:rsidRPr="00210EE1">
              <w:t>identifying and arranging tools, equipment and personal protective equipment (PPE) required for work plan</w:t>
            </w:r>
          </w:p>
          <w:p w:rsidR="00000000" w:rsidRPr="00210EE1" w:rsidP="00210EE1">
            <w:pPr>
              <w:pStyle w:val="ListBullet"/>
            </w:pPr>
            <w:r w:rsidRPr="00210EE1">
              <w:t>coordinating work activities with other site personnel</w:t>
            </w:r>
          </w:p>
          <w:p w:rsidR="00000000" w:rsidRPr="00210EE1" w:rsidP="00210EE1">
            <w:pPr>
              <w:pStyle w:val="ListBullet"/>
            </w:pPr>
            <w:r w:rsidRPr="00210EE1">
              <w:t>monitoring work and adapting as required</w:t>
            </w:r>
          </w:p>
          <w:p w:rsidR="00000000" w:rsidRPr="00210EE1" w:rsidP="00210EE1">
            <w:pPr>
              <w:pStyle w:val="ListBullet"/>
            </w:pPr>
            <w:r w:rsidRPr="00210EE1">
              <w:t>completing workplace documentation and reporting</w:t>
            </w:r>
          </w:p>
          <w:p w:rsidR="00000000" w:rsidRPr="00210EE1" w:rsidP="00210EE1">
            <w:pPr>
              <w:pStyle w:val="ListBullet"/>
            </w:pPr>
            <w:r w:rsidRPr="00210EE1">
              <w:t>compl</w:t>
            </w:r>
            <w:r w:rsidRPr="00210EE1">
              <w:t>eting site handover to relevant person/s in accordance with workplace procedures</w:t>
            </w:r>
          </w:p>
          <w:p w:rsidR="00000000" w:rsidRPr="00210EE1" w:rsidP="00210EE1">
            <w:pPr>
              <w:pStyle w:val="ListBullet"/>
            </w:pPr>
            <w:r w:rsidRPr="00210EE1">
              <w:t>advising relevant authorities of work completion in accordance with regulatory requirements.</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13" w:name="O_1121544"/>
      <w:bookmarkEnd w:id="13"/>
      <w:r w:rsidRPr="00210EE1">
        <w:t>Knowledge Evidence</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0EE1">
            <w:pPr>
              <w:pStyle w:val="BodyText"/>
              <w:rPr>
                <w:lang w:val="en-NZ"/>
              </w:rPr>
            </w:pPr>
            <w:r w:rsidRPr="00210EE1">
              <w:t>Evidence required to demonstrate competenc</w:t>
            </w:r>
            <w:r w:rsidRPr="00210EE1">
              <w:t xml:space="preserve">e in this unit must be relevant to and satisfy all of the requirements of the elements, performance criteria and range of conditions and include knowledge of: </w:t>
            </w:r>
          </w:p>
        </w:tc>
      </w:tr>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ListBullet"/>
            </w:pPr>
            <w:r w:rsidRPr="00210EE1">
              <w:t>organisational communication protocols</w:t>
            </w:r>
          </w:p>
          <w:p w:rsidR="00000000" w:rsidRPr="00210EE1" w:rsidP="00210EE1">
            <w:pPr>
              <w:pStyle w:val="ListBullet"/>
            </w:pPr>
            <w:r w:rsidRPr="00210EE1">
              <w:t>relevant industry regulation</w:t>
            </w:r>
          </w:p>
          <w:p w:rsidR="00000000" w:rsidRPr="00210EE1" w:rsidP="00210EE1">
            <w:pPr>
              <w:pStyle w:val="ListBullet"/>
            </w:pPr>
            <w:r w:rsidRPr="00210EE1">
              <w:t>local DA and demolition approval process</w:t>
            </w:r>
          </w:p>
          <w:p w:rsidR="00000000" w:rsidRPr="00210EE1" w:rsidP="00210EE1">
            <w:pPr>
              <w:pStyle w:val="ListBullet"/>
            </w:pPr>
            <w:r w:rsidRPr="00210EE1">
              <w:t>relevant authorisations and permit types</w:t>
            </w:r>
          </w:p>
          <w:p w:rsidR="00000000" w:rsidRPr="00210EE1" w:rsidP="00210EE1">
            <w:pPr>
              <w:pStyle w:val="ListBullet"/>
            </w:pPr>
            <w:r w:rsidRPr="00210EE1">
              <w:t>classification of hazardous zones</w:t>
            </w:r>
          </w:p>
          <w:p w:rsidR="00000000" w:rsidRPr="00210EE1" w:rsidP="00210EE1">
            <w:pPr>
              <w:pStyle w:val="ListBullet"/>
            </w:pPr>
            <w:r w:rsidRPr="00210EE1">
              <w:t>hazardous area electrical regulations</w:t>
            </w:r>
          </w:p>
          <w:p w:rsidR="00000000" w:rsidRPr="00210EE1" w:rsidP="00210EE1">
            <w:pPr>
              <w:pStyle w:val="ListBullet"/>
            </w:pPr>
            <w:r w:rsidRPr="00210EE1">
              <w:t>environmental protection requirements</w:t>
            </w:r>
          </w:p>
          <w:p w:rsidR="00000000" w:rsidRPr="00210EE1" w:rsidP="00210EE1">
            <w:pPr>
              <w:pStyle w:val="ListBullet"/>
            </w:pPr>
            <w:r w:rsidRPr="00210EE1">
              <w:t>safety requirements and emergency procedures</w:t>
            </w:r>
          </w:p>
          <w:p w:rsidR="00000000" w:rsidRPr="00210EE1" w:rsidP="00210EE1">
            <w:pPr>
              <w:pStyle w:val="ListBullet"/>
            </w:pPr>
            <w:r w:rsidRPr="00210EE1">
              <w:t>relevant industry s</w:t>
            </w:r>
            <w:r w:rsidRPr="00210EE1">
              <w:t>tandards</w:t>
            </w:r>
          </w:p>
          <w:p w:rsidR="00000000" w:rsidRPr="00210EE1" w:rsidP="00210EE1">
            <w:pPr>
              <w:pStyle w:val="ListBullet"/>
            </w:pPr>
            <w:r w:rsidRPr="00210EE1">
              <w:t>Australian Dangerous Goods (ADG) Code of Practice</w:t>
            </w:r>
          </w:p>
          <w:p w:rsidR="00000000" w:rsidRPr="00210EE1" w:rsidP="00210EE1">
            <w:pPr>
              <w:pStyle w:val="ListBullet"/>
            </w:pPr>
            <w:r w:rsidRPr="00210EE1">
              <w:t>techniques to identify and apply relevant industry standards</w:t>
            </w:r>
          </w:p>
          <w:p w:rsidR="00000000" w:rsidRPr="00210EE1" w:rsidP="00210EE1">
            <w:pPr>
              <w:pStyle w:val="ListBullet"/>
            </w:pPr>
            <w:r w:rsidRPr="00210EE1">
              <w:t>safety data sheets (SDS)/material safety data sheets (MSDS) and hazardous goods and hazards registers</w:t>
            </w:r>
          </w:p>
          <w:p w:rsidR="00000000" w:rsidRPr="00210EE1" w:rsidP="00210EE1">
            <w:pPr>
              <w:pStyle w:val="ListBullet"/>
            </w:pPr>
            <w:r w:rsidRPr="00210EE1">
              <w:t>changes to site conditions and wor</w:t>
            </w:r>
            <w:r w:rsidRPr="00210EE1">
              <w:t>k activity, including:</w:t>
            </w:r>
          </w:p>
          <w:p w:rsidR="00000000" w:rsidRPr="00210EE1" w:rsidP="00210EE1">
            <w:pPr>
              <w:pStyle w:val="ListBullet2"/>
            </w:pPr>
            <w:r w:rsidRPr="00210EE1">
              <w:t xml:space="preserve">during fuel delivery </w:t>
            </w:r>
          </w:p>
          <w:p w:rsidR="00000000" w:rsidRPr="00210EE1" w:rsidP="00210EE1">
            <w:pPr>
              <w:pStyle w:val="ListBullet2"/>
            </w:pPr>
            <w:r w:rsidRPr="00210EE1">
              <w:t>weather</w:t>
            </w:r>
          </w:p>
          <w:p w:rsidR="00000000" w:rsidRPr="00210EE1" w:rsidP="00210EE1">
            <w:pPr>
              <w:pStyle w:val="ListBullet2"/>
            </w:pPr>
            <w:r w:rsidRPr="00210EE1">
              <w:t xml:space="preserve">site operational status </w:t>
            </w:r>
          </w:p>
          <w:p w:rsidR="00000000" w:rsidRPr="00210EE1" w:rsidP="00210EE1">
            <w:pPr>
              <w:pStyle w:val="ListBullet2"/>
            </w:pPr>
            <w:r w:rsidRPr="00210EE1">
              <w:t>progress of the work</w:t>
            </w:r>
          </w:p>
          <w:p w:rsidR="00000000" w:rsidRPr="00210EE1" w:rsidP="00210EE1">
            <w:pPr>
              <w:pStyle w:val="ListBullet2"/>
            </w:pPr>
            <w:r w:rsidRPr="00210EE1">
              <w:t>impact of simultaneous work on site and presence of other workers</w:t>
            </w:r>
          </w:p>
          <w:p w:rsidR="00000000" w:rsidRPr="00210EE1" w:rsidP="00210EE1">
            <w:pPr>
              <w:pStyle w:val="ListBullet2"/>
            </w:pPr>
            <w:r w:rsidRPr="00210EE1">
              <w:t>environmental factors</w:t>
            </w:r>
          </w:p>
          <w:p w:rsidR="00000000" w:rsidRPr="00210EE1" w:rsidP="00210EE1">
            <w:pPr>
              <w:pStyle w:val="ListBullet"/>
            </w:pPr>
            <w:r w:rsidRPr="00210EE1">
              <w:t>work health and safety (WHS)/occupational health and safety (OHS) Acts and regulation</w:t>
            </w:r>
          </w:p>
          <w:p w:rsidR="00000000" w:rsidRPr="00210EE1" w:rsidP="00210EE1">
            <w:pPr>
              <w:pStyle w:val="ListBullet"/>
            </w:pPr>
            <w:r w:rsidRPr="00210EE1">
              <w:t>spill management</w:t>
            </w:r>
          </w:p>
          <w:p w:rsidR="00000000" w:rsidRPr="00210EE1" w:rsidP="00210EE1">
            <w:pPr>
              <w:pStyle w:val="ListBullet"/>
            </w:pPr>
            <w:r w:rsidRPr="00210EE1">
              <w:t>selection, implementation and development of JSAs, SWP and SWMS</w:t>
            </w:r>
          </w:p>
          <w:p w:rsidR="00000000" w:rsidRPr="00210EE1" w:rsidP="00210EE1">
            <w:pPr>
              <w:pStyle w:val="ListBullet"/>
            </w:pPr>
            <w:r w:rsidRPr="00210EE1">
              <w:t>different types of fuels and their associated hazards</w:t>
            </w:r>
          </w:p>
          <w:p w:rsidR="00000000" w:rsidRPr="00210EE1" w:rsidP="00210EE1">
            <w:pPr>
              <w:pStyle w:val="ListBullet"/>
            </w:pPr>
            <w:r w:rsidRPr="00210EE1">
              <w:t>solid and liquid waste certificates</w:t>
            </w:r>
          </w:p>
          <w:p w:rsidR="00000000" w:rsidRPr="00210EE1" w:rsidP="00210EE1">
            <w:pPr>
              <w:pStyle w:val="ListBullet"/>
            </w:pPr>
            <w:r w:rsidRPr="00210EE1">
              <w:t>Environment Protection Authority (EPA) reporting requirements</w:t>
            </w:r>
          </w:p>
          <w:p w:rsidR="00000000" w:rsidRPr="00210EE1" w:rsidP="00210EE1">
            <w:pPr>
              <w:pStyle w:val="ListBullet"/>
            </w:pPr>
            <w:r w:rsidRPr="00210EE1">
              <w:t>local DA reporting</w:t>
            </w:r>
          </w:p>
          <w:p w:rsidR="00000000" w:rsidRPr="00210EE1" w:rsidP="00210EE1">
            <w:pPr>
              <w:pStyle w:val="ListBullet"/>
            </w:pPr>
            <w:r w:rsidRPr="00210EE1">
              <w:t>jurisdictional Service Station Licensing requirements.</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14" w:name="O_1121545"/>
      <w:bookmarkEnd w:id="14"/>
      <w:r w:rsidRPr="00210EE1">
        <w:t>Assessment Conditions</w:t>
      </w:r>
    </w:p>
    <w:tbl>
      <w:tblPr>
        <w:tblW w:w="9497" w:type="dxa"/>
        <w:tblLayout w:type="fixed"/>
        <w:tblCellMar>
          <w:left w:w="62" w:type="dxa"/>
          <w:right w:w="62" w:type="dxa"/>
        </w:tblCellMar>
        <w:tblLook w:val="0000"/>
      </w:tblPr>
      <w:tblGrid>
        <w:gridCol w:w="9497"/>
      </w:tblGrid>
      <w:tr w:rsidTr="00210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0EE1" w:rsidP="00210EE1">
            <w:pPr>
              <w:pStyle w:val="BodyText"/>
            </w:pPr>
            <w:r w:rsidRPr="00210EE1">
              <w:t xml:space="preserve">Assessors must hold credentials specified within the Standards for Registered Training Organisations current at the time of assessment. </w:t>
            </w:r>
          </w:p>
          <w:p w:rsidR="00000000" w:rsidRPr="00210EE1" w:rsidP="00210EE1">
            <w:pPr>
              <w:pStyle w:val="BodyText"/>
            </w:pPr>
            <w:r w:rsidRPr="00210EE1">
              <w:t>Assessment must satisfy the Principles of Assessment and Rules of Evidence and all regulatory requirements included wit</w:t>
            </w:r>
            <w:r w:rsidRPr="00210EE1">
              <w:t>hin the Standards for Registered Training Organisations current at the time of assessment.</w:t>
            </w:r>
          </w:p>
          <w:p w:rsidR="00000000" w:rsidRPr="00210EE1" w:rsidP="00210EE1">
            <w:pPr>
              <w:pStyle w:val="BodyText"/>
            </w:pPr>
            <w:r w:rsidRPr="00210EE1">
              <w:t>Assessment must occur in workplace operational situations where it is appropriate to do so; where this is not appropriate, assessment must occur in simulated workpla</w:t>
            </w:r>
            <w:r w:rsidRPr="00210EE1">
              <w:t>ce operational situations that replicate workplace conditions.</w:t>
            </w:r>
          </w:p>
          <w:p w:rsidR="00000000" w:rsidRPr="00210EE1" w:rsidP="00210EE1">
            <w:pPr>
              <w:pStyle w:val="BodyText"/>
            </w:pPr>
            <w:r w:rsidRPr="00210EE1">
              <w:t>Assessment processes and techniques must be appropriate to the language, literacy and numeracy requirements of the work being performed and the needs of the candidate.</w:t>
            </w:r>
          </w:p>
          <w:p w:rsidR="00000000" w:rsidRPr="00210EE1" w:rsidP="00210EE1">
            <w:pPr>
              <w:pStyle w:val="BodyText"/>
            </w:pPr>
            <w:r w:rsidRPr="00210EE1">
              <w:t xml:space="preserve">Resources for assessment </w:t>
            </w:r>
            <w:r w:rsidRPr="00210EE1">
              <w:t>must include access to:</w:t>
            </w:r>
          </w:p>
          <w:p w:rsidR="00000000" w:rsidRPr="00210EE1" w:rsidP="00210EE1">
            <w:pPr>
              <w:pStyle w:val="ListBullet"/>
            </w:pPr>
            <w:r w:rsidRPr="00210EE1">
              <w:t>relevant and appropriate materials, tools, equipment and PPE currently used in industry</w:t>
            </w:r>
          </w:p>
          <w:p w:rsidR="00000000" w:rsidRPr="00210EE1" w:rsidP="00210EE1">
            <w:pPr>
              <w:pStyle w:val="ListBullet"/>
            </w:pPr>
            <w:r w:rsidRPr="00210EE1">
              <w:t>applicable documentation including legislation, regulations, codes of practice, workplace procedures, sample work permits and operation manuals</w:t>
            </w:r>
            <w:r w:rsidRPr="00210EE1">
              <w:t>.</w:t>
            </w:r>
          </w:p>
        </w:tc>
      </w:tr>
    </w:tbl>
    <w:p w:rsidR="00000000" w:rsidRPr="00210EE1" w:rsidP="00210EE1">
      <w:pPr>
        <w:pStyle w:val="NoPaddingFontSize1"/>
      </w:pPr>
    </w:p>
    <w:p w:rsidR="00000000" w:rsidRPr="00210EE1" w:rsidP="00210EE1">
      <w:pPr>
        <w:pStyle w:val="AllowPageBreak"/>
      </w:pPr>
    </w:p>
    <w:p w:rsidR="00000000" w:rsidRPr="00210EE1" w:rsidP="00210EE1">
      <w:pPr>
        <w:pStyle w:val="Heading1"/>
      </w:pPr>
      <w:bookmarkStart w:id="15" w:name="O_1121548"/>
      <w:bookmarkEnd w:id="15"/>
      <w:r w:rsidRPr="00210EE1">
        <w:t>Links</w:t>
      </w:r>
    </w:p>
    <w:p w:rsidR="00000000" w:rsidRPr="00210EE1" w:rsidP="004F5F6C">
      <w:pPr>
        <w:pStyle w:val="BodyText"/>
      </w:pPr>
      <w:r w:rsidRPr="00210EE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E2199">
        <w:rPr>
          <w:rStyle w:val="Hyperlink"/>
        </w:rPr>
        <w:t>https://vetnet.gov.au/Pages/TrainingDocs.aspx?q=df441c6e-213d-43e3-874c-0b3f7036d851</w:t>
      </w:r>
      <w:r>
        <w:fldChar w:fldCharType="end"/>
      </w:r>
    </w:p>
    <w:p w:rsidR="00000000" w:rsidRPr="00210EE1" w:rsidP="00210EE1"/>
    <w:sectPr w:rsidSect="00210E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E1" w:rsidRPr="004F5F6C" w:rsidP="004F5F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6C" w:rsidP="00210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F6C" w:rsidP="00210E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F5F6C" w:rsidP="00210E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E1" w:rsidP="00210EE1">
    <w:pPr>
      <w:pStyle w:val="Footer"/>
      <w:framePr w:wrap="around"/>
    </w:pPr>
    <w:r>
      <w:fldChar w:fldCharType="begin"/>
    </w:r>
    <w:r>
      <w:instrText xml:space="preserve"> DOCPROPERTY  Subject  \* MERGEFORMAT </w:instrText>
    </w:r>
    <w:r>
      <w:fldChar w:fldCharType="separate"/>
    </w:r>
    <w:r w:rsidR="004F5F6C">
      <w:t>Approved</w:t>
    </w:r>
    <w:r w:rsidR="004F5F6C">
      <w:fldChar w:fldCharType="end"/>
    </w:r>
    <w:r>
      <w:tab/>
      <w:t xml:space="preserve">Page </w:t>
    </w:r>
    <w:r>
      <w:fldChar w:fldCharType="begin"/>
    </w:r>
    <w:r>
      <w:instrText xml:space="preserve"> PAGE  \* Arabic  \* MERGEFORMAT </w:instrText>
    </w:r>
    <w:r>
      <w:fldChar w:fldCharType="separate"/>
    </w:r>
    <w:r w:rsidR="004F5F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5F6C">
      <w:rPr>
        <w:noProof/>
      </w:rPr>
      <w:t>4</w:t>
    </w:r>
    <w:r>
      <w:rPr>
        <w:noProof/>
      </w:rPr>
      <w:fldChar w:fldCharType="end"/>
    </w:r>
  </w:p>
  <w:p w:rsidR="00210EE1" w:rsidP="00210EE1">
    <w:pPr>
      <w:pStyle w:val="Footer"/>
      <w:framePr w:wrap="around"/>
    </w:pPr>
    <w:r>
      <w:t xml:space="preserve">© Commonwealth of Australia, </w:t>
    </w:r>
    <w:r>
      <w:fldChar w:fldCharType="begin"/>
    </w:r>
    <w:r>
      <w:instrText xml:space="preserve"> DATE  \@ "yyyy"  \* MERGEFORMAT </w:instrText>
    </w:r>
    <w:r>
      <w:fldChar w:fldCharType="separate"/>
    </w:r>
    <w:r w:rsidR="004F5F6C">
      <w:rPr>
        <w:noProof/>
      </w:rPr>
      <w:t>2025</w:t>
    </w:r>
    <w:r>
      <w:fldChar w:fldCharType="end"/>
    </w:r>
    <w:r>
      <w:tab/>
    </w:r>
    <w:r>
      <w:fldChar w:fldCharType="begin"/>
    </w:r>
    <w:r>
      <w:instrText xml:space="preserve"> DOCPROPERTY  Author  \* MERGEFORMAT </w:instrText>
    </w:r>
    <w:r>
      <w:fldChar w:fldCharType="separate"/>
    </w:r>
    <w:r w:rsidR="004F5F6C">
      <w:t>Industry Skills Australia</w:t>
    </w:r>
    <w:r w:rsidR="004F5F6C">
      <w:fldChar w:fldCharType="end"/>
    </w:r>
  </w:p>
  <w:p w:rsidR="00210EE1" w:rsidP="00210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EE1" w:rsidRPr="004F5F6C" w:rsidP="004F5F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6C" w:rsidRPr="002D2AF8" w:rsidP="00210EE1">
    <w:pPr>
      <w:pStyle w:val="Header"/>
      <w:framePr w:wrap="around"/>
    </w:pPr>
    <w:r>
      <w:fldChar w:fldCharType="begin"/>
    </w:r>
    <w:r>
      <w:instrText xml:space="preserve"> TITLE   \* MERGEFORMAT </w:instrText>
    </w:r>
    <w:r>
      <w:fldChar w:fldCharType="separate"/>
    </w:r>
    <w:r>
      <w:t>TLIX0026 Work in compliance with fuel storage and dispensing site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5F6C" w:rsidP="00210E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E1" w:rsidRPr="002D2AF8" w:rsidP="00210EE1">
    <w:pPr>
      <w:pStyle w:val="Header"/>
      <w:framePr w:wrap="around"/>
    </w:pPr>
    <w:r>
      <w:fldChar w:fldCharType="begin"/>
    </w:r>
    <w:r>
      <w:instrText xml:space="preserve"> TITLE   \* MERGEFORMAT </w:instrText>
    </w:r>
    <w:r>
      <w:fldChar w:fldCharType="separate"/>
    </w:r>
    <w:r w:rsidR="004F5F6C">
      <w:t>TLIX0026 Work in compliance with fuel storage and dispensing site requirements</w:t>
    </w:r>
    <w:r w:rsidR="004F5F6C">
      <w:fldChar w:fldCharType="end"/>
    </w:r>
    <w:r>
      <w:tab/>
      <w:t xml:space="preserve">Date this document was generated: </w:t>
    </w:r>
    <w:r>
      <w:fldChar w:fldCharType="begin"/>
    </w:r>
    <w:r>
      <w:instrText xml:space="preserve"> CREATEDATE  \@ "d MMMM yyyy"  \* MERGEFORMAT </w:instrText>
    </w:r>
    <w:r>
      <w:fldChar w:fldCharType="separate"/>
    </w:r>
    <w:r w:rsidR="004F5F6C">
      <w:rPr>
        <w:noProof/>
      </w:rPr>
      <w:t>2 March 2025</w:t>
    </w:r>
    <w:r>
      <w:fldChar w:fldCharType="end"/>
    </w:r>
  </w:p>
  <w:p w:rsidR="00210EE1" w:rsidP="00210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80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E0C0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A89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EE1"/>
    <w:pPr>
      <w:spacing w:before="360" w:after="60"/>
      <w:outlineLvl w:val="0"/>
    </w:pPr>
    <w:rPr>
      <w:sz w:val="32"/>
    </w:rPr>
  </w:style>
  <w:style w:type="paragraph" w:styleId="Heading2">
    <w:name w:val="heading 2"/>
    <w:basedOn w:val="HeadingBase"/>
    <w:next w:val="BodyText"/>
    <w:link w:val="Heading2Char"/>
    <w:qFormat/>
    <w:rsid w:val="00210EE1"/>
    <w:pPr>
      <w:keepLines/>
      <w:spacing w:before="240" w:after="120"/>
      <w:outlineLvl w:val="1"/>
    </w:pPr>
    <w:rPr>
      <w:sz w:val="28"/>
      <w:szCs w:val="40"/>
    </w:rPr>
  </w:style>
  <w:style w:type="paragraph" w:styleId="Heading3">
    <w:name w:val="heading 3"/>
    <w:basedOn w:val="HeadingBase"/>
    <w:next w:val="BodyText"/>
    <w:link w:val="Heading3Char"/>
    <w:qFormat/>
    <w:rsid w:val="00210EE1"/>
    <w:pPr>
      <w:spacing w:before="180" w:after="120"/>
      <w:outlineLvl w:val="2"/>
    </w:pPr>
    <w:rPr>
      <w:spacing w:val="-10"/>
      <w:kern w:val="32"/>
    </w:rPr>
  </w:style>
  <w:style w:type="paragraph" w:styleId="Heading4">
    <w:name w:val="heading 4"/>
    <w:basedOn w:val="HeadingBase"/>
    <w:next w:val="BodyText"/>
    <w:link w:val="Heading4Char"/>
    <w:qFormat/>
    <w:rsid w:val="00210EE1"/>
    <w:pPr>
      <w:spacing w:before="160" w:after="120"/>
      <w:outlineLvl w:val="3"/>
    </w:pPr>
    <w:rPr>
      <w:sz w:val="22"/>
    </w:rPr>
  </w:style>
  <w:style w:type="paragraph" w:styleId="Heading5">
    <w:name w:val="heading 5"/>
    <w:basedOn w:val="HeadingBase"/>
    <w:next w:val="Normal"/>
    <w:link w:val="Heading5Char"/>
    <w:qFormat/>
    <w:rsid w:val="00210EE1"/>
    <w:pPr>
      <w:spacing w:before="80"/>
      <w:outlineLvl w:val="4"/>
    </w:pPr>
    <w:rPr>
      <w:color w:val="918585"/>
      <w:sz w:val="20"/>
    </w:rPr>
  </w:style>
  <w:style w:type="paragraph" w:styleId="Heading6">
    <w:name w:val="heading 6"/>
    <w:basedOn w:val="HeadingBase"/>
    <w:next w:val="Normal"/>
    <w:link w:val="Heading6Char"/>
    <w:qFormat/>
    <w:rsid w:val="00210EE1"/>
    <w:pPr>
      <w:spacing w:before="60"/>
      <w:outlineLvl w:val="5"/>
    </w:pPr>
    <w:rPr>
      <w:color w:val="918585"/>
      <w:sz w:val="20"/>
    </w:rPr>
  </w:style>
  <w:style w:type="paragraph" w:styleId="Heading7">
    <w:name w:val="heading 7"/>
    <w:basedOn w:val="Normal"/>
    <w:next w:val="Normal"/>
    <w:link w:val="Heading7Char"/>
    <w:qFormat/>
    <w:rsid w:val="00210EE1"/>
    <w:pPr>
      <w:ind w:left="720"/>
      <w:outlineLvl w:val="6"/>
    </w:pPr>
    <w:rPr>
      <w:i/>
    </w:rPr>
  </w:style>
  <w:style w:type="paragraph" w:styleId="Heading8">
    <w:name w:val="heading 8"/>
    <w:basedOn w:val="Normal"/>
    <w:next w:val="Normal"/>
    <w:link w:val="Heading8Char"/>
    <w:qFormat/>
    <w:rsid w:val="00210EE1"/>
    <w:pPr>
      <w:ind w:left="720"/>
      <w:outlineLvl w:val="7"/>
    </w:pPr>
    <w:rPr>
      <w:i/>
    </w:rPr>
  </w:style>
  <w:style w:type="paragraph" w:styleId="Heading9">
    <w:name w:val="heading 9"/>
    <w:basedOn w:val="Normal"/>
    <w:next w:val="Normal"/>
    <w:link w:val="Heading9Char"/>
    <w:qFormat/>
    <w:rsid w:val="00210EE1"/>
    <w:pPr>
      <w:ind w:left="720"/>
      <w:outlineLvl w:val="8"/>
    </w:pPr>
    <w:rPr>
      <w:i/>
    </w:rPr>
  </w:style>
  <w:style w:type="character" w:default="1" w:styleId="DefaultParagraphFont">
    <w:name w:val="Default Paragraph Font"/>
    <w:uiPriority w:val="1"/>
    <w:unhideWhenUsed/>
    <w:rsid w:val="00210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EE1"/>
  </w:style>
  <w:style w:type="character" w:customStyle="1" w:styleId="Heading1Char">
    <w:name w:val="Heading 1 Char"/>
    <w:basedOn w:val="DefaultParagraphFont"/>
    <w:link w:val="Heading1"/>
    <w:rsid w:val="00210EE1"/>
    <w:rPr>
      <w:rFonts w:ascii="Times New Roman" w:eastAsia="Times New Roman" w:hAnsi="Times New Roman" w:cs="Times New Roman"/>
      <w:b/>
      <w:sz w:val="32"/>
      <w:szCs w:val="20"/>
      <w:lang w:eastAsia="en-US"/>
    </w:rPr>
  </w:style>
  <w:style w:type="paragraph" w:styleId="BodyText">
    <w:name w:val="Body Text"/>
    <w:basedOn w:val="Normal"/>
    <w:link w:val="BodyTextChar"/>
    <w:rsid w:val="00210E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EE1"/>
    <w:rPr>
      <w:rFonts w:ascii="Times New Roman" w:eastAsia="Times New Roman" w:hAnsi="Times New Roman" w:cs="Times New Roman"/>
      <w:sz w:val="24"/>
      <w:lang w:eastAsia="en-US"/>
    </w:rPr>
  </w:style>
  <w:style w:type="paragraph" w:styleId="ListBullet">
    <w:name w:val="List Bullet"/>
    <w:basedOn w:val="List"/>
    <w:rsid w:val="00210EE1"/>
    <w:pPr>
      <w:numPr>
        <w:numId w:val="12"/>
      </w:numPr>
      <w:tabs>
        <w:tab w:val="clear" w:pos="340"/>
      </w:tabs>
      <w:spacing w:before="40" w:after="40"/>
    </w:pPr>
  </w:style>
  <w:style w:type="character" w:customStyle="1" w:styleId="SpecialBold">
    <w:name w:val="Special Bold"/>
    <w:basedOn w:val="DefaultParagraphFont"/>
    <w:rsid w:val="00210EE1"/>
    <w:rPr>
      <w:b/>
      <w:spacing w:val="0"/>
    </w:rPr>
  </w:style>
  <w:style w:type="paragraph" w:styleId="ListBullet2">
    <w:name w:val="List Bullet 2"/>
    <w:basedOn w:val="List2"/>
    <w:rsid w:val="00210EE1"/>
    <w:pPr>
      <w:numPr>
        <w:numId w:val="13"/>
      </w:numPr>
      <w:tabs>
        <w:tab w:val="clear" w:pos="680"/>
      </w:tabs>
    </w:pPr>
  </w:style>
  <w:style w:type="paragraph" w:customStyle="1" w:styleId="SuperHeading">
    <w:name w:val="SuperHeading"/>
    <w:basedOn w:val="Normal"/>
    <w:rsid w:val="00210EE1"/>
    <w:pPr>
      <w:spacing w:before="240" w:after="120"/>
      <w:outlineLvl w:val="0"/>
    </w:pPr>
    <w:rPr>
      <w:rFonts w:ascii="Times New Roman" w:hAnsi="Times New Roman"/>
      <w:b/>
      <w:sz w:val="32"/>
    </w:rPr>
  </w:style>
  <w:style w:type="paragraph" w:customStyle="1" w:styleId="AllowPageBreak">
    <w:name w:val="AllowPageBreak"/>
    <w:rsid w:val="00210E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0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EE1"/>
    <w:rPr>
      <w:rFonts w:ascii="Courier New" w:eastAsia="Times New Roman" w:hAnsi="Courier New" w:cs="Times New Roman"/>
      <w:i/>
      <w:szCs w:val="20"/>
      <w:lang w:eastAsia="en-US"/>
    </w:rPr>
  </w:style>
  <w:style w:type="paragraph" w:customStyle="1" w:styleId="HeadingBase">
    <w:name w:val="Heading Base"/>
    <w:rsid w:val="00210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EE1"/>
    <w:pPr>
      <w:tabs>
        <w:tab w:val="right" w:leader="dot" w:pos="9072"/>
      </w:tabs>
      <w:ind w:left="567"/>
    </w:pPr>
    <w:rPr>
      <w:szCs w:val="22"/>
    </w:rPr>
  </w:style>
  <w:style w:type="paragraph" w:customStyle="1" w:styleId="TOCBase">
    <w:name w:val="TOC Base"/>
    <w:rsid w:val="00210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EE1"/>
    <w:pPr>
      <w:tabs>
        <w:tab w:val="right" w:leader="dot" w:pos="9072"/>
      </w:tabs>
      <w:spacing w:before="40" w:after="40"/>
      <w:ind w:left="284"/>
    </w:pPr>
    <w:rPr>
      <w:rFonts w:ascii="Times New Roman" w:hAnsi="Times New Roman"/>
    </w:rPr>
  </w:style>
  <w:style w:type="paragraph" w:styleId="TOC1">
    <w:name w:val="toc 1"/>
    <w:basedOn w:val="TOCBase"/>
    <w:next w:val="Normal"/>
    <w:rsid w:val="00210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EE1"/>
    <w:rPr>
      <w:rFonts w:ascii="Times New Roman" w:eastAsia="Times New Roman" w:hAnsi="Times New Roman" w:cs="Times New Roman"/>
      <w:sz w:val="16"/>
      <w:lang w:eastAsia="en-US"/>
    </w:rPr>
  </w:style>
  <w:style w:type="paragraph" w:styleId="Title">
    <w:name w:val="Title"/>
    <w:basedOn w:val="HeadingBase"/>
    <w:link w:val="TitleChar"/>
    <w:qFormat/>
    <w:rsid w:val="00210EE1"/>
    <w:pPr>
      <w:spacing w:before="5040"/>
      <w:jc w:val="center"/>
    </w:pPr>
    <w:rPr>
      <w:sz w:val="48"/>
      <w:szCs w:val="72"/>
      <w:lang w:val="en-US"/>
    </w:rPr>
  </w:style>
  <w:style w:type="character" w:customStyle="1" w:styleId="TitleChar">
    <w:name w:val="Title Char"/>
    <w:basedOn w:val="DefaultParagraphFont"/>
    <w:link w:val="Title"/>
    <w:rsid w:val="00210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EE1"/>
    <w:pPr>
      <w:tabs>
        <w:tab w:val="left" w:pos="3600"/>
        <w:tab w:val="left" w:pos="3958"/>
      </w:tabs>
    </w:pPr>
  </w:style>
  <w:style w:type="paragraph" w:styleId="List">
    <w:name w:val="List"/>
    <w:basedOn w:val="BodyText"/>
    <w:next w:val="BodyText"/>
    <w:rsid w:val="00210EE1"/>
    <w:pPr>
      <w:tabs>
        <w:tab w:val="left" w:pos="340"/>
      </w:tabs>
      <w:spacing w:before="60" w:after="60"/>
      <w:ind w:left="340" w:hanging="340"/>
    </w:pPr>
  </w:style>
  <w:style w:type="paragraph" w:customStyle="1" w:styleId="Note">
    <w:name w:val="Note"/>
    <w:basedOn w:val="BodyText"/>
    <w:rsid w:val="00210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EE1"/>
    <w:pPr>
      <w:framePr w:wrap="auto" w:hAnchor="text" w:y="6049"/>
    </w:pPr>
    <w:rPr>
      <w:color w:val="000000"/>
      <w:sz w:val="40"/>
    </w:rPr>
  </w:style>
  <w:style w:type="paragraph" w:customStyle="1" w:styleId="TOCTitle">
    <w:name w:val="TOCTitle"/>
    <w:basedOn w:val="Heading1"/>
    <w:rsid w:val="00210EE1"/>
    <w:pPr>
      <w:spacing w:after="240"/>
      <w:jc w:val="center"/>
      <w:outlineLvl w:val="9"/>
    </w:pPr>
    <w:rPr>
      <w:caps/>
    </w:rPr>
  </w:style>
  <w:style w:type="paragraph" w:customStyle="1" w:styleId="Version">
    <w:name w:val="Version"/>
    <w:rsid w:val="00210E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EE1"/>
    <w:pPr>
      <w:keepNext w:val="0"/>
      <w:tabs>
        <w:tab w:val="right" w:pos="4176"/>
      </w:tabs>
      <w:ind w:left="198" w:hanging="198"/>
    </w:pPr>
    <w:rPr>
      <w:rFonts w:ascii="Garamond" w:hAnsi="Garamond"/>
    </w:rPr>
  </w:style>
  <w:style w:type="paragraph" w:styleId="IndexHeading">
    <w:name w:val="index heading"/>
    <w:basedOn w:val="Normal"/>
    <w:next w:val="Index1"/>
    <w:semiHidden/>
    <w:rsid w:val="00210EE1"/>
    <w:pPr>
      <w:spacing w:before="120" w:after="120"/>
    </w:pPr>
    <w:rPr>
      <w:rFonts w:ascii="Arial" w:hAnsi="Arial"/>
      <w:b/>
      <w:color w:val="918585"/>
      <w:sz w:val="24"/>
    </w:rPr>
  </w:style>
  <w:style w:type="paragraph" w:styleId="Header">
    <w:name w:val="header"/>
    <w:basedOn w:val="Normal"/>
    <w:link w:val="HeaderChar"/>
    <w:rsid w:val="00210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EE1"/>
    <w:rPr>
      <w:rFonts w:ascii="Times New Roman" w:eastAsia="Times New Roman" w:hAnsi="Times New Roman" w:cs="Times New Roman"/>
      <w:sz w:val="16"/>
      <w:szCs w:val="20"/>
      <w:lang w:val="en-GB" w:eastAsia="en-US"/>
    </w:rPr>
  </w:style>
  <w:style w:type="paragraph" w:customStyle="1" w:styleId="Chapter">
    <w:name w:val="Chapter"/>
    <w:basedOn w:val="Normal"/>
    <w:rsid w:val="00210EE1"/>
    <w:pPr>
      <w:spacing w:before="240"/>
    </w:pPr>
    <w:rPr>
      <w:rFonts w:ascii="Times New Roman" w:hAnsi="Times New Roman"/>
      <w:smallCaps/>
      <w:spacing w:val="80"/>
      <w:sz w:val="28"/>
    </w:rPr>
  </w:style>
  <w:style w:type="paragraph" w:customStyle="1" w:styleId="InChapter">
    <w:name w:val="InChapter"/>
    <w:basedOn w:val="Heading3"/>
    <w:rsid w:val="00210EE1"/>
    <w:pPr>
      <w:spacing w:after="240"/>
      <w:outlineLvl w:val="9"/>
    </w:pPr>
    <w:rPr>
      <w:noProof/>
    </w:rPr>
  </w:style>
  <w:style w:type="paragraph" w:styleId="Index2">
    <w:name w:val="index 2"/>
    <w:basedOn w:val="Normal"/>
    <w:next w:val="Normal"/>
    <w:semiHidden/>
    <w:rsid w:val="00210EE1"/>
    <w:pPr>
      <w:tabs>
        <w:tab w:val="right" w:pos="4176"/>
      </w:tabs>
      <w:ind w:left="568" w:hanging="284"/>
    </w:pPr>
    <w:rPr>
      <w:rFonts w:ascii="Garamond" w:hAnsi="Garamond"/>
    </w:rPr>
  </w:style>
  <w:style w:type="paragraph" w:customStyle="1" w:styleId="Byline">
    <w:name w:val="Byline"/>
    <w:rsid w:val="00210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EE1"/>
    <w:pPr>
      <w:tabs>
        <w:tab w:val="clear" w:pos="3600"/>
        <w:tab w:val="clear" w:pos="3958"/>
      </w:tabs>
      <w:jc w:val="right"/>
    </w:pPr>
  </w:style>
  <w:style w:type="character" w:styleId="Emphasis">
    <w:name w:val="Emphasis"/>
    <w:basedOn w:val="DefaultParagraphFont"/>
    <w:qFormat/>
    <w:rsid w:val="00210EE1"/>
    <w:rPr>
      <w:i/>
    </w:rPr>
  </w:style>
  <w:style w:type="paragraph" w:styleId="Caption">
    <w:name w:val="caption"/>
    <w:basedOn w:val="BodyText"/>
    <w:next w:val="Normal"/>
    <w:qFormat/>
    <w:rsid w:val="00210EE1"/>
    <w:pPr>
      <w:framePr w:w="2268" w:hSpace="181" w:vSpace="181" w:wrap="around" w:vAnchor="text" w:hAnchor="page" w:x="1135" w:y="285" w:anchorLock="1"/>
    </w:pPr>
    <w:rPr>
      <w:i/>
    </w:rPr>
  </w:style>
  <w:style w:type="paragraph" w:customStyle="1" w:styleId="MiniTOCTitle">
    <w:name w:val="MiniTOCTitle"/>
    <w:basedOn w:val="Heading4"/>
    <w:rsid w:val="00210EE1"/>
    <w:pPr>
      <w:spacing w:before="240"/>
      <w:outlineLvl w:val="9"/>
    </w:pPr>
    <w:rPr>
      <w:noProof/>
      <w:sz w:val="24"/>
    </w:rPr>
  </w:style>
  <w:style w:type="paragraph" w:customStyle="1" w:styleId="MiniTOCItem">
    <w:name w:val="MiniTOCItem"/>
    <w:basedOn w:val="ListBullet"/>
    <w:rsid w:val="00210EE1"/>
    <w:pPr>
      <w:numPr>
        <w:numId w:val="0"/>
      </w:numPr>
      <w:tabs>
        <w:tab w:val="right" w:leader="dot" w:pos="6521"/>
      </w:tabs>
      <w:spacing w:before="0" w:after="0"/>
    </w:pPr>
  </w:style>
  <w:style w:type="paragraph" w:customStyle="1" w:styleId="TOFTitle">
    <w:name w:val="TOFTitle"/>
    <w:basedOn w:val="TOCTitle"/>
    <w:rsid w:val="00210EE1"/>
  </w:style>
  <w:style w:type="paragraph" w:styleId="TableofFigures">
    <w:name w:val="table of figures"/>
    <w:basedOn w:val="Normal"/>
    <w:next w:val="Normal"/>
    <w:semiHidden/>
    <w:rsid w:val="00210EE1"/>
    <w:pPr>
      <w:tabs>
        <w:tab w:val="right" w:leader="dot" w:pos="9072"/>
      </w:tabs>
      <w:ind w:left="970" w:hanging="403"/>
    </w:pPr>
    <w:rPr>
      <w:rFonts w:ascii="Times New Roman" w:hAnsi="Times New Roman"/>
      <w:b/>
    </w:rPr>
  </w:style>
  <w:style w:type="paragraph" w:styleId="ListNumber">
    <w:name w:val="List Number"/>
    <w:basedOn w:val="List"/>
    <w:rsid w:val="00210EE1"/>
    <w:pPr>
      <w:numPr>
        <w:numId w:val="15"/>
      </w:numPr>
      <w:tabs>
        <w:tab w:val="clear" w:pos="340"/>
      </w:tabs>
    </w:pPr>
  </w:style>
  <w:style w:type="character" w:customStyle="1" w:styleId="WingdingSymbols">
    <w:name w:val="Wingding Symbols"/>
    <w:rsid w:val="00210EE1"/>
    <w:rPr>
      <w:rFonts w:ascii="Wingdings" w:hAnsi="Wingdings"/>
    </w:rPr>
  </w:style>
  <w:style w:type="paragraph" w:customStyle="1" w:styleId="TableHeading">
    <w:name w:val="Table Heading"/>
    <w:basedOn w:val="HeadingBase"/>
    <w:rsid w:val="00210EE1"/>
    <w:pPr>
      <w:keepLines/>
      <w:pBdr>
        <w:bottom w:val="single" w:sz="6" w:space="1" w:color="918585"/>
      </w:pBdr>
      <w:spacing w:before="240"/>
    </w:pPr>
  </w:style>
  <w:style w:type="character" w:customStyle="1" w:styleId="HotSpot">
    <w:name w:val="HotSpot"/>
    <w:rsid w:val="00210EE1"/>
    <w:rPr>
      <w:color w:val="0033CC"/>
      <w:u w:val="none"/>
    </w:rPr>
  </w:style>
  <w:style w:type="paragraph" w:customStyle="1" w:styleId="BodyTextRight">
    <w:name w:val="Body Text Right"/>
    <w:basedOn w:val="BodyText"/>
    <w:rsid w:val="00210EE1"/>
    <w:pPr>
      <w:spacing w:before="0" w:after="0"/>
      <w:jc w:val="right"/>
    </w:pPr>
  </w:style>
  <w:style w:type="paragraph" w:styleId="Index3">
    <w:name w:val="index 3"/>
    <w:basedOn w:val="ListNumber2"/>
    <w:next w:val="Normal"/>
    <w:semiHidden/>
    <w:rsid w:val="00210EE1"/>
    <w:pPr>
      <w:numPr>
        <w:numId w:val="0"/>
      </w:numPr>
      <w:tabs>
        <w:tab w:val="right" w:leader="dot" w:pos="4176"/>
      </w:tabs>
    </w:pPr>
  </w:style>
  <w:style w:type="paragraph" w:styleId="ListNumber2">
    <w:name w:val="List Number 2"/>
    <w:basedOn w:val="List2"/>
    <w:rsid w:val="00210EE1"/>
    <w:pPr>
      <w:numPr>
        <w:numId w:val="10"/>
      </w:numPr>
      <w:tabs>
        <w:tab w:val="clear" w:pos="1060"/>
      </w:tabs>
    </w:pPr>
  </w:style>
  <w:style w:type="paragraph" w:customStyle="1" w:styleId="MarginNote">
    <w:name w:val="Margin Note"/>
    <w:basedOn w:val="BodyText"/>
    <w:rsid w:val="00210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EE1"/>
    <w:rPr>
      <w:sz w:val="32"/>
    </w:rPr>
  </w:style>
  <w:style w:type="paragraph" w:customStyle="1" w:styleId="HeadingProcedure">
    <w:name w:val="Heading Procedure"/>
    <w:basedOn w:val="HeadingBase"/>
    <w:next w:val="Normal"/>
    <w:rsid w:val="00210EE1"/>
    <w:pPr>
      <w:tabs>
        <w:tab w:val="left" w:pos="0"/>
      </w:tabs>
      <w:spacing w:before="120" w:after="60"/>
    </w:pPr>
    <w:rPr>
      <w:i/>
      <w:color w:val="918585"/>
      <w:sz w:val="22"/>
    </w:rPr>
  </w:style>
  <w:style w:type="paragraph" w:customStyle="1" w:styleId="TableBodyText">
    <w:name w:val="Table Body Text"/>
    <w:basedOn w:val="BodyText"/>
    <w:rsid w:val="00210EE1"/>
    <w:pPr>
      <w:spacing w:before="60" w:after="60"/>
    </w:pPr>
  </w:style>
  <w:style w:type="paragraph" w:styleId="ListContinue">
    <w:name w:val="List Continue"/>
    <w:basedOn w:val="List"/>
    <w:rsid w:val="00210EE1"/>
    <w:pPr>
      <w:ind w:firstLine="0"/>
    </w:pPr>
  </w:style>
  <w:style w:type="paragraph" w:customStyle="1" w:styleId="ListNote">
    <w:name w:val="List Note"/>
    <w:basedOn w:val="List"/>
    <w:rsid w:val="00210EE1"/>
    <w:pPr>
      <w:pBdr>
        <w:top w:val="single" w:sz="6" w:space="2" w:color="918585"/>
        <w:bottom w:val="single" w:sz="6" w:space="2" w:color="918585"/>
      </w:pBdr>
      <w:tabs>
        <w:tab w:val="left" w:pos="1021"/>
      </w:tabs>
      <w:ind w:firstLine="0"/>
    </w:pPr>
  </w:style>
  <w:style w:type="paragraph" w:customStyle="1" w:styleId="Warning">
    <w:name w:val="Warning"/>
    <w:basedOn w:val="BodyText"/>
    <w:rsid w:val="00210EE1"/>
    <w:pPr>
      <w:shd w:val="clear" w:color="auto" w:fill="D9D9D9"/>
      <w:tabs>
        <w:tab w:val="left" w:pos="992"/>
      </w:tabs>
      <w:ind w:left="119" w:right="119"/>
    </w:pPr>
    <w:rPr>
      <w:sz w:val="20"/>
    </w:rPr>
  </w:style>
  <w:style w:type="paragraph" w:customStyle="1" w:styleId="MarginIcons">
    <w:name w:val="Margin Icons"/>
    <w:basedOn w:val="BodyText"/>
    <w:rsid w:val="00210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EE1"/>
    <w:rPr>
      <w:rFonts w:ascii="Courier New" w:hAnsi="Courier New"/>
    </w:rPr>
  </w:style>
  <w:style w:type="paragraph" w:customStyle="1" w:styleId="NoteBullet">
    <w:name w:val="Note Bullet"/>
    <w:basedOn w:val="Note"/>
    <w:rsid w:val="00210EE1"/>
    <w:pPr>
      <w:tabs>
        <w:tab w:val="clear" w:pos="680"/>
      </w:tabs>
      <w:spacing w:before="60" w:after="60"/>
    </w:pPr>
  </w:style>
  <w:style w:type="paragraph" w:customStyle="1" w:styleId="SubHeading2">
    <w:name w:val="SubHeading2"/>
    <w:basedOn w:val="HeadingBase"/>
    <w:rsid w:val="00210EE1"/>
    <w:pPr>
      <w:spacing w:before="240" w:after="60"/>
    </w:pPr>
    <w:rPr>
      <w:sz w:val="20"/>
    </w:rPr>
  </w:style>
  <w:style w:type="paragraph" w:customStyle="1" w:styleId="SubHeading1">
    <w:name w:val="SubHeading1"/>
    <w:basedOn w:val="HeadingBase"/>
    <w:rsid w:val="00210EE1"/>
    <w:pPr>
      <w:spacing w:before="240" w:after="60"/>
    </w:pPr>
    <w:rPr>
      <w:color w:val="918585"/>
      <w:sz w:val="22"/>
    </w:rPr>
  </w:style>
  <w:style w:type="paragraph" w:customStyle="1" w:styleId="SideHeading">
    <w:name w:val="Side Heading"/>
    <w:basedOn w:val="HeadingBase"/>
    <w:rsid w:val="00210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EE1"/>
    <w:pPr>
      <w:tabs>
        <w:tab w:val="num" w:pos="360"/>
      </w:tabs>
    </w:pPr>
  </w:style>
  <w:style w:type="paragraph" w:styleId="PlainText">
    <w:name w:val="Plain Text"/>
    <w:basedOn w:val="Normal"/>
    <w:link w:val="PlainTextChar"/>
    <w:rsid w:val="00210EE1"/>
    <w:rPr>
      <w:sz w:val="20"/>
    </w:rPr>
  </w:style>
  <w:style w:type="character" w:customStyle="1" w:styleId="PlainTextChar">
    <w:name w:val="Plain Text Char"/>
    <w:basedOn w:val="DefaultParagraphFont"/>
    <w:link w:val="PlainText"/>
    <w:rsid w:val="00210EE1"/>
    <w:rPr>
      <w:rFonts w:ascii="Courier New" w:eastAsia="Times New Roman" w:hAnsi="Courier New" w:cs="Times New Roman"/>
      <w:sz w:val="20"/>
      <w:szCs w:val="20"/>
      <w:lang w:eastAsia="en-US"/>
    </w:rPr>
  </w:style>
  <w:style w:type="character" w:customStyle="1" w:styleId="MenuOption">
    <w:name w:val="Menu Option"/>
    <w:basedOn w:val="DefaultParagraphFont"/>
    <w:rsid w:val="00210EE1"/>
    <w:rPr>
      <w:b/>
      <w:smallCaps/>
    </w:rPr>
  </w:style>
  <w:style w:type="paragraph" w:customStyle="1" w:styleId="TableListNumber">
    <w:name w:val="Table List Number"/>
    <w:basedOn w:val="ListNumber"/>
    <w:rsid w:val="00210EE1"/>
    <w:pPr>
      <w:numPr>
        <w:numId w:val="0"/>
      </w:numPr>
    </w:pPr>
  </w:style>
  <w:style w:type="paragraph" w:styleId="TOC4">
    <w:name w:val="toc 4"/>
    <w:basedOn w:val="TOCBase"/>
    <w:next w:val="Normal"/>
    <w:semiHidden/>
    <w:rsid w:val="00210EE1"/>
    <w:pPr>
      <w:tabs>
        <w:tab w:val="right" w:leader="dot" w:pos="9071"/>
      </w:tabs>
      <w:ind w:left="1701"/>
    </w:pPr>
  </w:style>
  <w:style w:type="paragraph" w:customStyle="1" w:styleId="ListAlpha">
    <w:name w:val="List Alpha"/>
    <w:basedOn w:val="List"/>
    <w:rsid w:val="00210EE1"/>
    <w:pPr>
      <w:numPr>
        <w:numId w:val="9"/>
      </w:numPr>
    </w:pPr>
  </w:style>
  <w:style w:type="paragraph" w:customStyle="1" w:styleId="ListAlpha2">
    <w:name w:val="List Alpha 2"/>
    <w:basedOn w:val="List2"/>
    <w:rsid w:val="00210EE1"/>
    <w:pPr>
      <w:numPr>
        <w:numId w:val="8"/>
      </w:numPr>
    </w:pPr>
  </w:style>
  <w:style w:type="paragraph" w:styleId="List2">
    <w:name w:val="List 2"/>
    <w:basedOn w:val="BodyText"/>
    <w:rsid w:val="00210EE1"/>
    <w:pPr>
      <w:tabs>
        <w:tab w:val="left" w:pos="680"/>
      </w:tabs>
      <w:spacing w:before="60" w:after="60"/>
      <w:ind w:left="680" w:hanging="340"/>
    </w:pPr>
  </w:style>
  <w:style w:type="paragraph" w:styleId="List3">
    <w:name w:val="List 3"/>
    <w:basedOn w:val="BodyText"/>
    <w:rsid w:val="00210EE1"/>
    <w:pPr>
      <w:tabs>
        <w:tab w:val="left" w:pos="1021"/>
      </w:tabs>
      <w:spacing w:before="60" w:after="60"/>
      <w:ind w:left="1020" w:hanging="340"/>
    </w:pPr>
  </w:style>
  <w:style w:type="paragraph" w:styleId="List4">
    <w:name w:val="List 4"/>
    <w:basedOn w:val="BodyText"/>
    <w:rsid w:val="00210EE1"/>
    <w:pPr>
      <w:tabs>
        <w:tab w:val="left" w:pos="1361"/>
      </w:tabs>
      <w:spacing w:before="60" w:after="60"/>
      <w:ind w:left="1361" w:hanging="340"/>
    </w:pPr>
  </w:style>
  <w:style w:type="paragraph" w:styleId="List5">
    <w:name w:val="List 5"/>
    <w:basedOn w:val="BodyText"/>
    <w:rsid w:val="00210EE1"/>
    <w:pPr>
      <w:tabs>
        <w:tab w:val="left" w:pos="1701"/>
      </w:tabs>
      <w:spacing w:before="60" w:after="60"/>
      <w:ind w:left="1701" w:hanging="340"/>
    </w:pPr>
  </w:style>
  <w:style w:type="paragraph" w:styleId="ListBullet3">
    <w:name w:val="List Bullet 3"/>
    <w:basedOn w:val="List3"/>
    <w:rsid w:val="00210EE1"/>
    <w:pPr>
      <w:numPr>
        <w:numId w:val="14"/>
      </w:numPr>
      <w:tabs>
        <w:tab w:val="clear" w:pos="1021"/>
      </w:tabs>
      <w:ind w:left="1037" w:hanging="357"/>
    </w:pPr>
  </w:style>
  <w:style w:type="paragraph" w:styleId="ListBullet4">
    <w:name w:val="List Bullet 4"/>
    <w:basedOn w:val="List4"/>
    <w:rsid w:val="00210EE1"/>
    <w:pPr>
      <w:numPr>
        <w:numId w:val="3"/>
      </w:numPr>
      <w:tabs>
        <w:tab w:val="clear" w:pos="1361"/>
      </w:tabs>
    </w:pPr>
  </w:style>
  <w:style w:type="paragraph" w:styleId="ListBullet5">
    <w:name w:val="List Bullet 5"/>
    <w:basedOn w:val="List5"/>
    <w:rsid w:val="00210EE1"/>
    <w:pPr>
      <w:numPr>
        <w:numId w:val="4"/>
      </w:numPr>
    </w:pPr>
  </w:style>
  <w:style w:type="paragraph" w:styleId="ListContinue2">
    <w:name w:val="List Continue 2"/>
    <w:basedOn w:val="List2"/>
    <w:rsid w:val="00210EE1"/>
    <w:pPr>
      <w:ind w:firstLine="0"/>
    </w:pPr>
  </w:style>
  <w:style w:type="paragraph" w:styleId="ListContinue3">
    <w:name w:val="List Continue 3"/>
    <w:basedOn w:val="List3"/>
    <w:rsid w:val="00210EE1"/>
    <w:pPr>
      <w:ind w:left="1021" w:firstLine="0"/>
    </w:pPr>
  </w:style>
  <w:style w:type="paragraph" w:styleId="ListContinue4">
    <w:name w:val="List Continue 4"/>
    <w:basedOn w:val="List4"/>
    <w:rsid w:val="00210EE1"/>
    <w:pPr>
      <w:ind w:firstLine="0"/>
    </w:pPr>
  </w:style>
  <w:style w:type="paragraph" w:styleId="ListContinue5">
    <w:name w:val="List Continue 5"/>
    <w:basedOn w:val="List5"/>
    <w:rsid w:val="00210EE1"/>
    <w:pPr>
      <w:ind w:firstLine="0"/>
    </w:pPr>
  </w:style>
  <w:style w:type="paragraph" w:styleId="ListNumber3">
    <w:name w:val="List Number 3"/>
    <w:basedOn w:val="List3"/>
    <w:rsid w:val="00210EE1"/>
    <w:pPr>
      <w:numPr>
        <w:numId w:val="5"/>
      </w:numPr>
    </w:pPr>
  </w:style>
  <w:style w:type="paragraph" w:styleId="ListNumber4">
    <w:name w:val="List Number 4"/>
    <w:basedOn w:val="List4"/>
    <w:rsid w:val="00210EE1"/>
    <w:pPr>
      <w:numPr>
        <w:numId w:val="6"/>
      </w:numPr>
    </w:pPr>
  </w:style>
  <w:style w:type="paragraph" w:styleId="ListNumber5">
    <w:name w:val="List Number 5"/>
    <w:basedOn w:val="List5"/>
    <w:rsid w:val="00210EE1"/>
    <w:pPr>
      <w:numPr>
        <w:numId w:val="7"/>
      </w:numPr>
    </w:pPr>
  </w:style>
  <w:style w:type="paragraph" w:styleId="BlockText">
    <w:name w:val="Block Text"/>
    <w:basedOn w:val="Normal"/>
    <w:rsid w:val="00210EE1"/>
    <w:pPr>
      <w:spacing w:after="120"/>
      <w:ind w:left="1440" w:right="1440"/>
    </w:pPr>
  </w:style>
  <w:style w:type="character" w:customStyle="1" w:styleId="Subscript">
    <w:name w:val="Subscript"/>
    <w:basedOn w:val="DefaultParagraphFont"/>
    <w:rsid w:val="00210EE1"/>
    <w:rPr>
      <w:sz w:val="16"/>
      <w:vertAlign w:val="subscript"/>
    </w:rPr>
  </w:style>
  <w:style w:type="character" w:customStyle="1" w:styleId="Superscript">
    <w:name w:val="Superscript"/>
    <w:basedOn w:val="DefaultParagraphFont"/>
    <w:rsid w:val="00210EE1"/>
    <w:rPr>
      <w:sz w:val="16"/>
      <w:vertAlign w:val="superscript"/>
    </w:rPr>
  </w:style>
  <w:style w:type="character" w:customStyle="1" w:styleId="Symbols">
    <w:name w:val="Symbols"/>
    <w:basedOn w:val="DefaultParagraphFont"/>
    <w:rsid w:val="00210EE1"/>
    <w:rPr>
      <w:rFonts w:ascii="Symbol" w:hAnsi="Symbol"/>
    </w:rPr>
  </w:style>
  <w:style w:type="character" w:customStyle="1" w:styleId="MenuOptions">
    <w:name w:val="Menu Options"/>
    <w:basedOn w:val="DefaultParagraphFont"/>
    <w:rsid w:val="00210EE1"/>
    <w:rPr>
      <w:rFonts w:ascii="Arial Narrow" w:hAnsi="Arial Narrow"/>
      <w:smallCaps/>
    </w:rPr>
  </w:style>
  <w:style w:type="character" w:customStyle="1" w:styleId="Buttons">
    <w:name w:val="Buttons"/>
    <w:basedOn w:val="DefaultParagraphFont"/>
    <w:rsid w:val="00210EE1"/>
    <w:rPr>
      <w:b/>
    </w:rPr>
  </w:style>
  <w:style w:type="character" w:customStyle="1" w:styleId="Underlined">
    <w:name w:val="Underlined"/>
    <w:basedOn w:val="DefaultParagraphFont"/>
    <w:rsid w:val="00210EE1"/>
    <w:rPr>
      <w:u w:val="single"/>
    </w:rPr>
  </w:style>
  <w:style w:type="paragraph" w:customStyle="1" w:styleId="TableBodyTextRight">
    <w:name w:val="Table Body Text Right"/>
    <w:basedOn w:val="TableBodyText"/>
    <w:rsid w:val="00210EE1"/>
    <w:pPr>
      <w:widowControl w:val="0"/>
      <w:autoSpaceDE w:val="0"/>
      <w:autoSpaceDN w:val="0"/>
      <w:adjustRightInd w:val="0"/>
      <w:jc w:val="right"/>
    </w:pPr>
    <w:rPr>
      <w:rFonts w:cs="Arial"/>
      <w:szCs w:val="18"/>
    </w:rPr>
  </w:style>
  <w:style w:type="paragraph" w:customStyle="1" w:styleId="CopyrightText">
    <w:name w:val="Copyright Text"/>
    <w:basedOn w:val="BodyText"/>
    <w:rsid w:val="00210EE1"/>
    <w:rPr>
      <w:sz w:val="18"/>
    </w:rPr>
  </w:style>
  <w:style w:type="paragraph" w:customStyle="1" w:styleId="BodySmallRight">
    <w:name w:val="Body Small Right"/>
    <w:basedOn w:val="BodyTextRight"/>
    <w:rsid w:val="00210EE1"/>
    <w:rPr>
      <w:sz w:val="18"/>
      <w:szCs w:val="18"/>
    </w:rPr>
  </w:style>
  <w:style w:type="paragraph" w:customStyle="1" w:styleId="MarginEdition">
    <w:name w:val="Margin Edition"/>
    <w:basedOn w:val="MarginNote"/>
    <w:rsid w:val="00210EE1"/>
    <w:pPr>
      <w:spacing w:before="0" w:after="0"/>
    </w:pPr>
    <w:rPr>
      <w:rFonts w:ascii="Times New Roman" w:hAnsi="Times New Roman"/>
      <w:color w:val="999999"/>
    </w:rPr>
  </w:style>
  <w:style w:type="paragraph" w:customStyle="1" w:styleId="Spacer">
    <w:name w:val="Spacer"/>
    <w:basedOn w:val="Normal"/>
    <w:rsid w:val="00210EE1"/>
    <w:rPr>
      <w:sz w:val="2"/>
      <w:szCs w:val="2"/>
    </w:rPr>
  </w:style>
  <w:style w:type="character" w:customStyle="1" w:styleId="Small">
    <w:name w:val="Small"/>
    <w:basedOn w:val="DefaultParagraphFont"/>
    <w:rsid w:val="00210EE1"/>
    <w:rPr>
      <w:sz w:val="16"/>
    </w:rPr>
  </w:style>
  <w:style w:type="paragraph" w:customStyle="1" w:styleId="WideTable">
    <w:name w:val="Wide Table"/>
    <w:basedOn w:val="Normal"/>
    <w:rsid w:val="00210EE1"/>
    <w:pPr>
      <w:ind w:left="-1418"/>
    </w:pPr>
    <w:rPr>
      <w:sz w:val="2"/>
      <w:szCs w:val="2"/>
    </w:rPr>
  </w:style>
  <w:style w:type="character" w:styleId="PageNumber">
    <w:name w:val="page number"/>
    <w:basedOn w:val="DefaultParagraphFont"/>
    <w:rsid w:val="00210EE1"/>
  </w:style>
  <w:style w:type="paragraph" w:styleId="Quote">
    <w:name w:val="Quote"/>
    <w:basedOn w:val="Heading1"/>
    <w:link w:val="QuoteChar"/>
    <w:qFormat/>
    <w:rsid w:val="00210EE1"/>
    <w:rPr>
      <w:b w:val="0"/>
      <w:sz w:val="72"/>
      <w:szCs w:val="72"/>
      <w:lang w:val="en-NZ"/>
    </w:rPr>
  </w:style>
  <w:style w:type="character" w:customStyle="1" w:styleId="QuoteChar">
    <w:name w:val="Quote Char"/>
    <w:basedOn w:val="DefaultParagraphFont"/>
    <w:link w:val="Quote"/>
    <w:rsid w:val="00210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EE1"/>
    <w:pPr>
      <w:pageBreakBefore/>
    </w:pPr>
  </w:style>
  <w:style w:type="paragraph" w:customStyle="1" w:styleId="Border">
    <w:name w:val="Border"/>
    <w:basedOn w:val="Normal"/>
    <w:qFormat/>
    <w:rsid w:val="00210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EE1"/>
    <w:rPr>
      <w:b/>
      <w:bCs/>
      <w:i/>
      <w:iCs/>
      <w:color w:val="auto"/>
    </w:rPr>
  </w:style>
  <w:style w:type="paragraph" w:styleId="IntenseQuote">
    <w:name w:val="Intense Quote"/>
    <w:basedOn w:val="Normal"/>
    <w:next w:val="Normal"/>
    <w:link w:val="IntenseQuoteChar"/>
    <w:uiPriority w:val="30"/>
    <w:qFormat/>
    <w:rsid w:val="00210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EE1"/>
    <w:rPr>
      <w:smallCaps/>
      <w:color w:val="auto"/>
      <w:u w:val="single"/>
    </w:rPr>
  </w:style>
  <w:style w:type="character" w:styleId="IntenseReference">
    <w:name w:val="Intense Reference"/>
    <w:basedOn w:val="DefaultParagraphFont"/>
    <w:uiPriority w:val="32"/>
    <w:qFormat/>
    <w:rsid w:val="00210EE1"/>
    <w:rPr>
      <w:b/>
      <w:bCs/>
      <w:smallCaps/>
      <w:color w:val="auto"/>
      <w:spacing w:val="5"/>
      <w:u w:val="single"/>
    </w:rPr>
  </w:style>
  <w:style w:type="paragraph" w:customStyle="1" w:styleId="2ColumnHeading">
    <w:name w:val="2Column Heading"/>
    <w:basedOn w:val="BodyText"/>
    <w:qFormat/>
    <w:rsid w:val="00210EE1"/>
    <w:pPr>
      <w:spacing w:after="60"/>
      <w:ind w:left="-2268"/>
    </w:pPr>
    <w:rPr>
      <w:b/>
    </w:rPr>
  </w:style>
  <w:style w:type="paragraph" w:customStyle="1" w:styleId="Heading1TOC">
    <w:name w:val="Heading1 TOC"/>
    <w:basedOn w:val="Normal"/>
    <w:qFormat/>
    <w:rsid w:val="00210EE1"/>
    <w:pPr>
      <w:spacing w:before="240" w:after="120"/>
    </w:pPr>
    <w:rPr>
      <w:rFonts w:ascii="Times New Roman" w:hAnsi="Times New Roman"/>
      <w:b/>
      <w:sz w:val="32"/>
    </w:rPr>
  </w:style>
  <w:style w:type="paragraph" w:customStyle="1" w:styleId="Heading2TOC">
    <w:name w:val="Heading2 TOC"/>
    <w:basedOn w:val="Normal"/>
    <w:qFormat/>
    <w:rsid w:val="00210EE1"/>
    <w:pPr>
      <w:spacing w:before="240" w:after="60"/>
    </w:pPr>
    <w:rPr>
      <w:rFonts w:ascii="Times New Roman" w:hAnsi="Times New Roman"/>
      <w:b/>
      <w:sz w:val="28"/>
    </w:rPr>
  </w:style>
  <w:style w:type="character" w:customStyle="1" w:styleId="Underline">
    <w:name w:val="Underline"/>
    <w:basedOn w:val="DefaultParagraphFont"/>
    <w:qFormat/>
    <w:rsid w:val="00210EE1"/>
    <w:rPr>
      <w:u w:val="single"/>
    </w:rPr>
  </w:style>
  <w:style w:type="character" w:customStyle="1" w:styleId="BoldandItalics">
    <w:name w:val="Bold and Italics"/>
    <w:qFormat/>
    <w:rsid w:val="00210EE1"/>
    <w:rPr>
      <w:b/>
      <w:i/>
      <w:u w:val="none"/>
    </w:rPr>
  </w:style>
  <w:style w:type="paragraph" w:styleId="BalloonText">
    <w:name w:val="Balloon Text"/>
    <w:basedOn w:val="Normal"/>
    <w:link w:val="BalloonTextChar"/>
    <w:rsid w:val="00210EE1"/>
    <w:rPr>
      <w:rFonts w:ascii="Tahoma" w:hAnsi="Tahoma" w:cs="Tahoma"/>
      <w:sz w:val="16"/>
      <w:szCs w:val="16"/>
    </w:rPr>
  </w:style>
  <w:style w:type="character" w:customStyle="1" w:styleId="BalloonTextChar">
    <w:name w:val="Balloon Text Char"/>
    <w:basedOn w:val="DefaultParagraphFont"/>
    <w:link w:val="BalloonText"/>
    <w:rsid w:val="00210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E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EE1"/>
    <w:rPr>
      <w:b/>
      <w:color w:val="660033"/>
      <w:spacing w:val="0"/>
    </w:rPr>
  </w:style>
  <w:style w:type="paragraph" w:customStyle="1" w:styleId="Nameditemlist">
    <w:name w:val="Named item list"/>
    <w:basedOn w:val="BodyText"/>
    <w:qFormat/>
    <w:rsid w:val="00210EE1"/>
    <w:pPr>
      <w:tabs>
        <w:tab w:val="left" w:pos="2835"/>
      </w:tabs>
      <w:ind w:left="2835" w:hanging="2835"/>
    </w:pPr>
  </w:style>
  <w:style w:type="paragraph" w:customStyle="1" w:styleId="BodyTextnopadding">
    <w:name w:val="Body Text no padding"/>
    <w:basedOn w:val="BodyText"/>
    <w:qFormat/>
    <w:rsid w:val="00210EE1"/>
    <w:pPr>
      <w:spacing w:before="0" w:after="0"/>
    </w:pPr>
  </w:style>
  <w:style w:type="paragraph" w:customStyle="1" w:styleId="BodyTextBold">
    <w:name w:val="Body Text Bold"/>
    <w:basedOn w:val="BodyText"/>
    <w:qFormat/>
    <w:rsid w:val="00210EE1"/>
    <w:rPr>
      <w:b/>
    </w:rPr>
  </w:style>
  <w:style w:type="character" w:styleId="Hyperlink">
    <w:name w:val="Hyperlink"/>
    <w:basedOn w:val="DefaultParagraphFont"/>
    <w:uiPriority w:val="99"/>
    <w:unhideWhenUsed/>
    <w:rsid w:val="004F5F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7549</Characters>
  <Application>Microsoft Office Word</Application>
  <DocSecurity>0</DocSecurity>
  <Lines>279</Lines>
  <Paragraphs>167</Paragraphs>
  <ScaleCrop>false</ScaleCrop>
  <Company>Author-it Software Corporation Ltd.</Company>
  <LinksUpToDate>false</LinksUpToDate>
  <CharactersWithSpaces>8525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TLIX0026 Work in compliance with fuel storage and dispensing site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