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679" w:rsidP="00AC2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TLIX0025 Maintain fuel storage and dispensing systems</w:t>
      </w:r>
      <w:r>
        <w:fldChar w:fldCharType="end"/>
      </w:r>
    </w:p>
    <w:p w:rsidR="00AC2679" w:rsidP="00AC2679">
      <w:pPr>
        <w:pStyle w:val="Version"/>
        <w:sectPr w:rsidSect="00853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A14" w:rsidP="00853A14">
      <w:pPr>
        <w:pStyle w:val="SuperHeading"/>
      </w:pPr>
      <w:r w:rsidRPr="00853A14">
        <w:t>TLIX0025 Maintain fuel storage and dispensing systems</w:t>
      </w:r>
    </w:p>
    <w:p w:rsidR="00000000" w:rsidRPr="00853A14" w:rsidP="00853A14">
      <w:pPr>
        <w:pStyle w:val="Heading1"/>
      </w:pPr>
      <w:bookmarkStart w:id="1" w:name="O_1121513"/>
      <w:bookmarkEnd w:id="1"/>
      <w:r w:rsidRPr="00853A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t>Release 1. This is the first release of this unit of competency in the TLI Transport and Logistics Training Package.</w:t>
            </w:r>
          </w:p>
        </w:tc>
      </w:tr>
    </w:tbl>
    <w:p w:rsidR="00000000" w:rsidRPr="00853A14" w:rsidP="00853A14">
      <w:pPr>
        <w:pStyle w:val="NoPaddingFontSize1"/>
      </w:pPr>
    </w:p>
    <w:p w:rsidR="00000000" w:rsidRPr="00853A14" w:rsidP="00853A14">
      <w:pPr>
        <w:pStyle w:val="AllowPageBreak"/>
      </w:pPr>
    </w:p>
    <w:p w:rsidR="00000000" w:rsidRPr="00853A14" w:rsidP="00853A14">
      <w:pPr>
        <w:pStyle w:val="Heading1"/>
      </w:pPr>
      <w:bookmarkStart w:id="2" w:name="O_1121514"/>
      <w:bookmarkEnd w:id="2"/>
      <w:r w:rsidRPr="00853A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t>This unit relates to the maintenance of fuel storage and dispensing</w:t>
            </w:r>
            <w:r w:rsidRPr="00853A14">
              <w:t xml:space="preserve"> systems. This includes working safely, planning and preparing to maintain fuel storage and dispensing systems, testing to diagnose faults, performing maintenance, conducting-post maintenance trials and tests and making adjustments, and completing required</w:t>
            </w:r>
            <w:r w:rsidRPr="00853A14">
              <w:t xml:space="preserve"> documentation and reporting.</w:t>
            </w:r>
          </w:p>
          <w:p w:rsidR="00000000" w:rsidRPr="00853A14" w:rsidP="00853A14">
            <w:pPr>
              <w:pStyle w:val="BodyText"/>
            </w:pPr>
            <w:r w:rsidRPr="00853A14">
              <w:t>The unit covers above-ground and below-ground fuel storage tanks and applies to work at sites which store and dispense diesel and motor spirit (petrol), including ethanol blends.</w:t>
            </w:r>
          </w:p>
          <w:p w:rsidR="00000000" w:rsidRPr="00853A14" w:rsidP="00853A14">
            <w:pPr>
              <w:pStyle w:val="BodyText"/>
            </w:pPr>
            <w:r w:rsidRPr="00853A14">
              <w:t>This unit excludes tank lining and systems used</w:t>
            </w:r>
            <w:r w:rsidRPr="00853A14">
              <w:t xml:space="preserve"> for aviation fuel; and bulk fuel systems on military bases, major hazard facilities and bulk transfer terminals.</w:t>
            </w:r>
          </w:p>
          <w:p w:rsidR="00000000" w:rsidRPr="00853A14" w:rsidP="00853A14">
            <w:pPr>
              <w:pStyle w:val="BodyText"/>
            </w:pPr>
            <w:r w:rsidRPr="00853A14">
              <w:t>This unit is appropriate for personnel involved in maintaining fuel storage and dispensing systems. Work may be performed individually as part</w:t>
            </w:r>
            <w:r w:rsidRPr="00853A14">
              <w:t xml:space="preserve"> of a small team.</w:t>
            </w:r>
          </w:p>
          <w:p w:rsidR="00000000" w:rsidRPr="00853A14" w:rsidP="00853A14">
            <w:pPr>
              <w:pStyle w:val="BodyText"/>
            </w:pPr>
            <w:r w:rsidRPr="00853A14">
              <w:t>Licensing, legislative or certification requirements that apply to this unit may vary between jurisdictions and should be checked prior to commencing the unit.</w:t>
            </w:r>
          </w:p>
        </w:tc>
      </w:tr>
    </w:tbl>
    <w:p w:rsidR="00000000" w:rsidRPr="00853A14" w:rsidP="00853A14">
      <w:pPr>
        <w:pStyle w:val="NoPaddingFontSize1"/>
      </w:pPr>
    </w:p>
    <w:p w:rsidR="00000000" w:rsidRPr="00853A14" w:rsidP="00853A14">
      <w:pPr>
        <w:pStyle w:val="AllowPageBreak"/>
      </w:pPr>
    </w:p>
    <w:p w:rsidR="00000000" w:rsidRPr="00853A14" w:rsidP="00853A14">
      <w:pPr>
        <w:pStyle w:val="Heading1"/>
      </w:pPr>
      <w:bookmarkStart w:id="3" w:name="O_1121515"/>
      <w:bookmarkEnd w:id="3"/>
      <w:r w:rsidRPr="00853A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t>Not applicable</w:t>
            </w:r>
          </w:p>
        </w:tc>
      </w:tr>
    </w:tbl>
    <w:p w:rsidR="00000000" w:rsidRPr="00853A14" w:rsidP="00853A14">
      <w:pPr>
        <w:pStyle w:val="NoPaddingFontSize1"/>
      </w:pPr>
    </w:p>
    <w:p w:rsidR="00000000" w:rsidRPr="00853A14" w:rsidP="00853A14">
      <w:pPr>
        <w:pStyle w:val="AllowPageBreak"/>
      </w:pPr>
    </w:p>
    <w:p w:rsidR="00000000" w:rsidRPr="00853A14" w:rsidP="00853A14">
      <w:pPr>
        <w:pStyle w:val="Heading1"/>
      </w:pPr>
      <w:bookmarkStart w:id="4" w:name="O_1121516"/>
      <w:bookmarkEnd w:id="4"/>
      <w:r w:rsidRPr="00853A14">
        <w:t>Co</w:t>
      </w:r>
      <w:r w:rsidRPr="00853A14">
        <w:t>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t>Not applicable</w:t>
            </w:r>
          </w:p>
        </w:tc>
      </w:tr>
    </w:tbl>
    <w:p w:rsidR="00000000" w:rsidRPr="00853A14" w:rsidP="00853A14">
      <w:pPr>
        <w:pStyle w:val="NoPaddingFontSize1"/>
      </w:pPr>
    </w:p>
    <w:p w:rsidR="00000000" w:rsidRPr="00853A14" w:rsidP="00853A14">
      <w:pPr>
        <w:pStyle w:val="AllowPageBreak"/>
      </w:pPr>
    </w:p>
    <w:p w:rsidR="00000000" w:rsidRPr="00853A14" w:rsidP="00853A14">
      <w:pPr>
        <w:pStyle w:val="Heading1"/>
      </w:pPr>
      <w:bookmarkStart w:id="5" w:name="O_1121517"/>
      <w:bookmarkEnd w:id="5"/>
      <w:r w:rsidRPr="00853A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t>Not applicable</w:t>
            </w:r>
          </w:p>
        </w:tc>
      </w:tr>
    </w:tbl>
    <w:p w:rsidR="00000000" w:rsidRPr="00853A14" w:rsidP="00853A14">
      <w:pPr>
        <w:pStyle w:val="NoPaddingFontSize1"/>
      </w:pPr>
    </w:p>
    <w:p w:rsidR="00000000" w:rsidRPr="00853A14" w:rsidP="00853A14">
      <w:pPr>
        <w:pStyle w:val="AllowPageBreak"/>
      </w:pPr>
    </w:p>
    <w:p w:rsidR="00000000" w:rsidRPr="00853A14" w:rsidP="00853A14">
      <w:pPr>
        <w:pStyle w:val="Heading1"/>
      </w:pPr>
      <w:bookmarkStart w:id="6" w:name="O_1121518"/>
      <w:bookmarkEnd w:id="6"/>
      <w:r w:rsidRPr="00853A1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PERFORMANCE CRITERIA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Performance criteria describe the performance needed to demonstrate achievement of the element.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rPr>
                <w:rStyle w:val="SpecialBold"/>
              </w:rPr>
              <w:t>Plan to maintain fuel storage and dispensing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 xml:space="preserve">Fuel storage and dispensing system design, drawings, specifications and manufacturer’s maintenance </w:t>
            </w:r>
            <w:r w:rsidRPr="00853A14">
              <w:t>schedules are interpreted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Site conditions are determined, evaluated and accommodated in work plan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Existing site services are identified and accommodated in work plan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Tools, equipment and personnel required to complete work are determined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Authorisations, licences or permits required for work are identified and obtained by relevant personnel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Workplace documentation, site-specific requirements, industry stan</w:t>
            </w:r>
            <w:r w:rsidRPr="00853A14">
              <w:t>dards and regulatory requirements are accessed and interpreted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Workplan is developed to ensure work is completed in correct sequence and in compliance with requirements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Safe work method statements (SWMS) are developed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Tools, equipment and personal protective equipment (PPE) required for work plan are identified and arranged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1.10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Human resource requirements are identified, and competency checked against requirements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rPr>
                <w:rStyle w:val="SpecialBold"/>
              </w:rPr>
              <w:t>Prepare to maintain fuel storage and dispensing s</w:t>
            </w:r>
            <w:r w:rsidRPr="00853A14">
              <w:rPr>
                <w:rStyle w:val="SpecialBold"/>
              </w:rPr>
              <w:t>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Risk assessments are completed, and controls and monitoring processes implemented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 xml:space="preserve">Site personnel are briefed, and understanding of Emergency Response Plan (ERP), hazards, protection of existing site services, site works and operational </w:t>
            </w:r>
            <w:r w:rsidRPr="00853A14">
              <w:t>requirements confirmed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Site signage, isolation and lock-out/tag-out requirements are implemented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Worksite is delineated and cordoned off to prevent unauthorised access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Materials, tools and equipment required are obtained and checked ag</w:t>
            </w:r>
            <w:r w:rsidRPr="00853A14">
              <w:t>ainst requirements for correct operation and safety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Work is coordinated effectively with others on the worksite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SWMS for all work are reviewed and applied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rPr>
                <w:rStyle w:val="SpecialBold"/>
              </w:rPr>
              <w:t>Maintain fuel storage and dispensing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Maintenance plan is interpreted and applied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Testing to diagnose faults is conducted in accordance with manufacturer guidelines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Existing fuel system is disconnected and dismantled in accordance with work plan and manufacturer instructions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Maintenance is performed in accordance with manufacturer specifications, site procedures and SWMS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Problems or non-conformance are identified, recorded, rectified and reported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Post-maintenance trials and tests are conducted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Fuel sto</w:t>
            </w:r>
            <w:r w:rsidRPr="00853A14">
              <w:t>rage and dispensing system is recommissioned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Required adjustments are made and recorded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rPr>
                <w:rStyle w:val="SpecialBold"/>
              </w:rPr>
              <w:t>Complete work and reporting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Work completion is undertaken in accordance with workplan, specifications and SWMS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Site housekeeping and remediation are completed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 xml:space="preserve">Performance is recorded and reported 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Compliance documentation and reporting are completed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>Relevant personnel are notified of work completion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t xml:space="preserve">Site handover to relevant person/s is completed in accordance with workplace procedures </w:t>
            </w:r>
          </w:p>
        </w:tc>
      </w:tr>
      <w:tr w:rsidTr="00853A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A14">
            <w:pPr>
              <w:pStyle w:val="BodyText"/>
              <w:rPr>
                <w:lang w:val="en-NZ"/>
              </w:rPr>
            </w:pPr>
            <w:r w:rsidRPr="00853A14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t>Authorities are advised of work completion in accordance with regulatory requirements</w:t>
            </w:r>
          </w:p>
        </w:tc>
      </w:tr>
    </w:tbl>
    <w:p w:rsidR="00000000" w:rsidRPr="00853A14" w:rsidP="00853A14">
      <w:pPr>
        <w:pStyle w:val="NoPaddingFontSize1"/>
      </w:pPr>
    </w:p>
    <w:p w:rsidR="00000000" w:rsidRPr="00853A14" w:rsidP="00853A14">
      <w:pPr>
        <w:pStyle w:val="AllowPageBreak"/>
      </w:pPr>
    </w:p>
    <w:p w:rsidR="00000000" w:rsidRPr="00853A14" w:rsidP="00853A14">
      <w:pPr>
        <w:pStyle w:val="Heading1"/>
      </w:pPr>
      <w:bookmarkStart w:id="7" w:name="O_1121519"/>
      <w:bookmarkEnd w:id="7"/>
      <w:r w:rsidRPr="00853A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t>Foundation skills essential to perf</w:t>
            </w:r>
            <w:r w:rsidRPr="00853A14">
              <w:t>ormance are explicit in the performance criteria of this unit of competency.</w:t>
            </w:r>
          </w:p>
        </w:tc>
      </w:tr>
    </w:tbl>
    <w:p w:rsidR="00000000" w:rsidRPr="00853A14" w:rsidP="00853A14">
      <w:pPr>
        <w:pStyle w:val="NoPaddingFontSize1"/>
      </w:pPr>
    </w:p>
    <w:p w:rsidR="00000000" w:rsidRPr="00853A14" w:rsidP="00853A14">
      <w:pPr>
        <w:pStyle w:val="AllowPageBreak"/>
      </w:pPr>
    </w:p>
    <w:p w:rsidR="00000000" w:rsidRPr="00853A14" w:rsidP="00853A14">
      <w:pPr>
        <w:pStyle w:val="Heading1"/>
      </w:pPr>
      <w:bookmarkStart w:id="8" w:name="O_1121520"/>
      <w:bookmarkEnd w:id="8"/>
      <w:r w:rsidRPr="00853A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t>Range is restricted to essential operating conditions and any other variables essential to the work environment.</w:t>
            </w:r>
          </w:p>
          <w:p w:rsidR="00000000" w:rsidRPr="00853A14" w:rsidP="00853A14">
            <w:pPr>
              <w:pStyle w:val="BodyText"/>
            </w:pPr>
            <w:r w:rsidRPr="00853A14">
              <w:t>Non-essential conditions can be found in the TLI Transport and Logistics Training Package Companion Volume Implementation Guide.</w:t>
            </w:r>
          </w:p>
          <w:p w:rsidR="00000000" w:rsidRPr="00853A14" w:rsidP="00853A14">
            <w:pPr>
              <w:pStyle w:val="BodyText"/>
            </w:pPr>
            <w:r w:rsidRPr="00853A14">
              <w:t>This unit must be demonstrated related to work at a site:</w:t>
            </w:r>
          </w:p>
          <w:p w:rsidR="00000000" w:rsidRPr="00853A14" w:rsidP="00853A14">
            <w:pPr>
              <w:pStyle w:val="ListBullet"/>
            </w:pPr>
            <w:r w:rsidRPr="00853A14">
              <w:t>with either above-ground or below-ground fuel storage tanks</w:t>
            </w:r>
          </w:p>
          <w:p w:rsidR="00000000" w:rsidRPr="00853A14" w:rsidP="00853A14">
            <w:pPr>
              <w:pStyle w:val="ListBullet"/>
            </w:pPr>
            <w:r w:rsidRPr="00853A14">
              <w:t>which st</w:t>
            </w:r>
            <w:r w:rsidRPr="00853A14">
              <w:t>ores and dispenses diesel and motor spirit (petrol), including ethanol blends.</w:t>
            </w:r>
          </w:p>
          <w:p w:rsidR="00000000" w:rsidRPr="00853A14" w:rsidP="00853A14">
            <w:pPr>
              <w:pStyle w:val="BodyText"/>
            </w:pPr>
            <w:r w:rsidRPr="00853A14">
              <w:t>This unit excludes:</w:t>
            </w:r>
          </w:p>
          <w:p w:rsidR="00000000" w:rsidRPr="00853A14" w:rsidP="00853A14">
            <w:pPr>
              <w:pStyle w:val="ListBullet"/>
            </w:pPr>
            <w:r w:rsidRPr="00853A14">
              <w:t>tank lining</w:t>
            </w:r>
          </w:p>
          <w:p w:rsidR="00000000" w:rsidRPr="00853A14" w:rsidP="00853A14">
            <w:pPr>
              <w:pStyle w:val="ListBullet"/>
            </w:pPr>
            <w:r w:rsidRPr="00853A14">
              <w:t>systems used for aviation fuel</w:t>
            </w:r>
          </w:p>
          <w:p w:rsidR="00000000" w:rsidRPr="00853A14" w:rsidP="00853A14">
            <w:pPr>
              <w:pStyle w:val="ListBullet"/>
            </w:pPr>
            <w:r w:rsidRPr="00853A14">
              <w:t>bulk fuel systems on military bases</w:t>
            </w:r>
          </w:p>
          <w:p w:rsidR="00000000" w:rsidRPr="00853A14" w:rsidP="00853A14">
            <w:pPr>
              <w:pStyle w:val="ListBullet"/>
            </w:pPr>
            <w:r w:rsidRPr="00853A14">
              <w:t>major hazard facilities</w:t>
            </w:r>
          </w:p>
          <w:p w:rsidR="00000000" w:rsidRPr="00853A14" w:rsidP="00853A14">
            <w:pPr>
              <w:pStyle w:val="ListBullet"/>
            </w:pPr>
            <w:r w:rsidRPr="00853A14">
              <w:t>bulk transfer terminals</w:t>
            </w:r>
          </w:p>
        </w:tc>
      </w:tr>
    </w:tbl>
    <w:p w:rsidR="00000000" w:rsidRPr="00853A14" w:rsidP="00853A14">
      <w:pPr>
        <w:pStyle w:val="NoPaddingFontSize1"/>
      </w:pPr>
    </w:p>
    <w:p w:rsidR="00000000" w:rsidRPr="00853A14" w:rsidP="00853A14">
      <w:pPr>
        <w:pStyle w:val="AllowPageBreak"/>
      </w:pPr>
    </w:p>
    <w:p w:rsidR="00000000" w:rsidRPr="00853A14" w:rsidP="00853A14">
      <w:pPr>
        <w:pStyle w:val="Heading1"/>
      </w:pPr>
      <w:bookmarkStart w:id="9" w:name="O_1121521"/>
      <w:bookmarkEnd w:id="9"/>
      <w:r w:rsidRPr="00853A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A14" w:rsidP="00853A14">
            <w:pPr>
              <w:pStyle w:val="BodyText"/>
            </w:pPr>
            <w:r w:rsidRPr="00853A14">
              <w:t>This is a new unit. No equivalent unit.</w:t>
            </w:r>
          </w:p>
        </w:tc>
      </w:tr>
    </w:tbl>
    <w:p w:rsidR="00000000" w:rsidRPr="00853A14" w:rsidP="00853A14">
      <w:pPr>
        <w:pStyle w:val="NoPaddingFontSize1"/>
      </w:pPr>
    </w:p>
    <w:p w:rsidR="00000000" w:rsidRPr="00853A14" w:rsidP="00853A14">
      <w:pPr>
        <w:pStyle w:val="AllowPageBreak"/>
      </w:pPr>
    </w:p>
    <w:p w:rsidR="00000000" w:rsidRPr="00853A14" w:rsidP="00853A14">
      <w:pPr>
        <w:pStyle w:val="Heading1"/>
      </w:pPr>
      <w:bookmarkStart w:id="10" w:name="O_1121528"/>
      <w:bookmarkEnd w:id="10"/>
      <w:r w:rsidRPr="00853A14">
        <w:t>Links</w:t>
      </w:r>
    </w:p>
    <w:p w:rsidR="00000000" w:rsidRPr="00853A14" w:rsidP="00AC2679">
      <w:pPr>
        <w:pStyle w:val="BodyText"/>
      </w:pPr>
      <w:r w:rsidRPr="00853A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D210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3A14" w:rsidP="00853A14"/>
    <w:sectPr w:rsidSect="00853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14" w:rsidRPr="00AC2679" w:rsidP="00AC2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79" w:rsidP="00853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679" w:rsidP="00853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C2679" w:rsidP="00853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A14" w:rsidRPr="00AC2679" w:rsidP="00AC2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79" w:rsidRPr="002D2AF8" w:rsidP="00853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TLIX0025 Maintain fuel storage and dispensing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C2679" w:rsidP="00853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3EB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D2F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A14"/>
  </w:style>
  <w:style w:type="character" w:customStyle="1" w:styleId="Heading1Char">
    <w:name w:val="Heading 1 Char"/>
    <w:basedOn w:val="DefaultParagraphFont"/>
    <w:link w:val="Heading1"/>
    <w:rsid w:val="00853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A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A14"/>
    <w:rPr>
      <w:b/>
      <w:spacing w:val="0"/>
    </w:rPr>
  </w:style>
  <w:style w:type="paragraph" w:customStyle="1" w:styleId="SuperHeading">
    <w:name w:val="SuperHeading"/>
    <w:basedOn w:val="Normal"/>
    <w:rsid w:val="00853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3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A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A14"/>
    <w:rPr>
      <w:i/>
    </w:rPr>
  </w:style>
  <w:style w:type="paragraph" w:styleId="Caption">
    <w:name w:val="caption"/>
    <w:basedOn w:val="BodyText"/>
    <w:next w:val="Normal"/>
    <w:qFormat/>
    <w:rsid w:val="00853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A14"/>
  </w:style>
  <w:style w:type="paragraph" w:styleId="TableofFigures">
    <w:name w:val="table of figures"/>
    <w:basedOn w:val="Normal"/>
    <w:next w:val="Normal"/>
    <w:semiHidden/>
    <w:rsid w:val="00853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A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3A14"/>
    <w:rPr>
      <w:rFonts w:ascii="Wingdings" w:hAnsi="Wingdings"/>
    </w:rPr>
  </w:style>
  <w:style w:type="paragraph" w:customStyle="1" w:styleId="TableHeading">
    <w:name w:val="Table Heading"/>
    <w:basedOn w:val="HeadingBase"/>
    <w:rsid w:val="00853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A14"/>
    <w:rPr>
      <w:color w:val="0033CC"/>
      <w:u w:val="none"/>
    </w:rPr>
  </w:style>
  <w:style w:type="paragraph" w:customStyle="1" w:styleId="BodyTextRight">
    <w:name w:val="Body Text Right"/>
    <w:basedOn w:val="BodyText"/>
    <w:rsid w:val="00853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A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A14"/>
    <w:rPr>
      <w:sz w:val="32"/>
    </w:rPr>
  </w:style>
  <w:style w:type="paragraph" w:customStyle="1" w:styleId="HeadingProcedure">
    <w:name w:val="Heading Procedure"/>
    <w:basedOn w:val="HeadingBase"/>
    <w:next w:val="Normal"/>
    <w:rsid w:val="00853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A14"/>
    <w:pPr>
      <w:spacing w:before="60" w:after="60"/>
    </w:pPr>
  </w:style>
  <w:style w:type="paragraph" w:styleId="ListContinue">
    <w:name w:val="List Continue"/>
    <w:basedOn w:val="List"/>
    <w:rsid w:val="00853A14"/>
    <w:pPr>
      <w:ind w:firstLine="0"/>
    </w:pPr>
  </w:style>
  <w:style w:type="paragraph" w:customStyle="1" w:styleId="ListNote">
    <w:name w:val="List Note"/>
    <w:basedOn w:val="List"/>
    <w:rsid w:val="00853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A14"/>
    <w:rPr>
      <w:rFonts w:ascii="Courier New" w:hAnsi="Courier New"/>
    </w:rPr>
  </w:style>
  <w:style w:type="paragraph" w:customStyle="1" w:styleId="NoteBullet">
    <w:name w:val="Note Bullet"/>
    <w:basedOn w:val="Note"/>
    <w:rsid w:val="00853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A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A14"/>
    <w:rPr>
      <w:b/>
      <w:smallCaps/>
    </w:rPr>
  </w:style>
  <w:style w:type="paragraph" w:customStyle="1" w:styleId="TableListNumber">
    <w:name w:val="Table List Number"/>
    <w:basedOn w:val="ListNumber"/>
    <w:rsid w:val="00853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A14"/>
    <w:pPr>
      <w:numPr>
        <w:numId w:val="8"/>
      </w:numPr>
    </w:pPr>
  </w:style>
  <w:style w:type="paragraph" w:customStyle="1" w:styleId="ListAlpha2">
    <w:name w:val="List Alpha 2"/>
    <w:basedOn w:val="List2"/>
    <w:rsid w:val="00853A14"/>
    <w:pPr>
      <w:numPr>
        <w:numId w:val="7"/>
      </w:numPr>
    </w:pPr>
  </w:style>
  <w:style w:type="paragraph" w:styleId="List2">
    <w:name w:val="List 2"/>
    <w:basedOn w:val="BodyText"/>
    <w:rsid w:val="00853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A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A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A14"/>
    <w:pPr>
      <w:numPr>
        <w:numId w:val="3"/>
      </w:numPr>
    </w:pPr>
  </w:style>
  <w:style w:type="paragraph" w:styleId="ListContinue2">
    <w:name w:val="List Continue 2"/>
    <w:basedOn w:val="List2"/>
    <w:rsid w:val="00853A14"/>
    <w:pPr>
      <w:ind w:firstLine="0"/>
    </w:pPr>
  </w:style>
  <w:style w:type="paragraph" w:styleId="ListContinue3">
    <w:name w:val="List Continue 3"/>
    <w:basedOn w:val="List3"/>
    <w:rsid w:val="00853A14"/>
    <w:pPr>
      <w:ind w:left="1021" w:firstLine="0"/>
    </w:pPr>
  </w:style>
  <w:style w:type="paragraph" w:styleId="ListContinue4">
    <w:name w:val="List Continue 4"/>
    <w:basedOn w:val="List4"/>
    <w:rsid w:val="00853A14"/>
    <w:pPr>
      <w:ind w:firstLine="0"/>
    </w:pPr>
  </w:style>
  <w:style w:type="paragraph" w:styleId="ListContinue5">
    <w:name w:val="List Continue 5"/>
    <w:basedOn w:val="List5"/>
    <w:rsid w:val="00853A14"/>
    <w:pPr>
      <w:ind w:firstLine="0"/>
    </w:pPr>
  </w:style>
  <w:style w:type="paragraph" w:styleId="ListNumber3">
    <w:name w:val="List Number 3"/>
    <w:basedOn w:val="List3"/>
    <w:rsid w:val="00853A14"/>
    <w:pPr>
      <w:numPr>
        <w:numId w:val="4"/>
      </w:numPr>
    </w:pPr>
  </w:style>
  <w:style w:type="paragraph" w:styleId="ListNumber4">
    <w:name w:val="List Number 4"/>
    <w:basedOn w:val="List4"/>
    <w:rsid w:val="00853A14"/>
    <w:pPr>
      <w:numPr>
        <w:numId w:val="5"/>
      </w:numPr>
    </w:pPr>
  </w:style>
  <w:style w:type="paragraph" w:styleId="ListNumber5">
    <w:name w:val="List Number 5"/>
    <w:basedOn w:val="List5"/>
    <w:rsid w:val="00853A14"/>
    <w:pPr>
      <w:numPr>
        <w:numId w:val="6"/>
      </w:numPr>
    </w:pPr>
  </w:style>
  <w:style w:type="paragraph" w:styleId="BlockText">
    <w:name w:val="Block Text"/>
    <w:basedOn w:val="Normal"/>
    <w:rsid w:val="00853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A14"/>
    <w:rPr>
      <w:sz w:val="16"/>
      <w:vertAlign w:val="superscript"/>
    </w:rPr>
  </w:style>
  <w:style w:type="character" w:customStyle="1" w:styleId="Symbols">
    <w:name w:val="Symbols"/>
    <w:basedOn w:val="DefaultParagraphFont"/>
    <w:rsid w:val="00853A14"/>
    <w:rPr>
      <w:rFonts w:ascii="Symbol" w:hAnsi="Symbol"/>
    </w:rPr>
  </w:style>
  <w:style w:type="character" w:customStyle="1" w:styleId="MenuOptions">
    <w:name w:val="Menu Options"/>
    <w:basedOn w:val="DefaultParagraphFont"/>
    <w:rsid w:val="00853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A14"/>
    <w:rPr>
      <w:b/>
    </w:rPr>
  </w:style>
  <w:style w:type="character" w:customStyle="1" w:styleId="Underlined">
    <w:name w:val="Underlined"/>
    <w:basedOn w:val="DefaultParagraphFont"/>
    <w:rsid w:val="00853A14"/>
    <w:rPr>
      <w:u w:val="single"/>
    </w:rPr>
  </w:style>
  <w:style w:type="paragraph" w:customStyle="1" w:styleId="TableBodyTextRight">
    <w:name w:val="Table Body Text Right"/>
    <w:basedOn w:val="TableBodyText"/>
    <w:rsid w:val="00853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A14"/>
    <w:rPr>
      <w:sz w:val="18"/>
    </w:rPr>
  </w:style>
  <w:style w:type="paragraph" w:customStyle="1" w:styleId="BodySmallRight">
    <w:name w:val="Body Small Right"/>
    <w:basedOn w:val="BodyTextRight"/>
    <w:rsid w:val="00853A14"/>
    <w:rPr>
      <w:sz w:val="18"/>
      <w:szCs w:val="18"/>
    </w:rPr>
  </w:style>
  <w:style w:type="paragraph" w:customStyle="1" w:styleId="MarginEdition">
    <w:name w:val="Margin Edition"/>
    <w:basedOn w:val="MarginNote"/>
    <w:rsid w:val="00853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A14"/>
    <w:rPr>
      <w:sz w:val="2"/>
      <w:szCs w:val="2"/>
    </w:rPr>
  </w:style>
  <w:style w:type="character" w:customStyle="1" w:styleId="Small">
    <w:name w:val="Small"/>
    <w:basedOn w:val="DefaultParagraphFont"/>
    <w:rsid w:val="00853A14"/>
    <w:rPr>
      <w:sz w:val="16"/>
    </w:rPr>
  </w:style>
  <w:style w:type="paragraph" w:customStyle="1" w:styleId="WideTable">
    <w:name w:val="Wide Table"/>
    <w:basedOn w:val="Normal"/>
    <w:rsid w:val="00853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A14"/>
  </w:style>
  <w:style w:type="paragraph" w:styleId="Quote">
    <w:name w:val="Quote"/>
    <w:basedOn w:val="Heading1"/>
    <w:link w:val="QuoteChar"/>
    <w:qFormat/>
    <w:rsid w:val="00853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A14"/>
    <w:pPr>
      <w:pageBreakBefore/>
    </w:pPr>
  </w:style>
  <w:style w:type="paragraph" w:customStyle="1" w:styleId="Border">
    <w:name w:val="Border"/>
    <w:basedOn w:val="Normal"/>
    <w:qFormat/>
    <w:rsid w:val="00853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A14"/>
    <w:rPr>
      <w:u w:val="single"/>
    </w:rPr>
  </w:style>
  <w:style w:type="character" w:customStyle="1" w:styleId="BoldandItalics">
    <w:name w:val="Bold and Italics"/>
    <w:qFormat/>
    <w:rsid w:val="00853A14"/>
    <w:rPr>
      <w:b/>
      <w:i/>
      <w:u w:val="none"/>
    </w:rPr>
  </w:style>
  <w:style w:type="paragraph" w:styleId="BalloonText">
    <w:name w:val="Balloon Text"/>
    <w:basedOn w:val="Normal"/>
    <w:link w:val="BalloonTextChar"/>
    <w:rsid w:val="00853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A14"/>
    <w:pPr>
      <w:spacing w:before="0" w:after="0"/>
    </w:pPr>
  </w:style>
  <w:style w:type="paragraph" w:customStyle="1" w:styleId="BodyTextBold">
    <w:name w:val="Body Text Bold"/>
    <w:basedOn w:val="BodyText"/>
    <w:qFormat/>
    <w:rsid w:val="00853A14"/>
    <w:rPr>
      <w:b/>
    </w:rPr>
  </w:style>
  <w:style w:type="character" w:styleId="Hyperlink">
    <w:name w:val="Hyperlink"/>
    <w:basedOn w:val="DefaultParagraphFont"/>
    <w:uiPriority w:val="99"/>
    <w:unhideWhenUsed/>
    <w:rsid w:val="00AC2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4912</Characters>
  <Application>Microsoft Office Word</Application>
  <DocSecurity>0</DocSecurity>
  <Lines>258</Lines>
  <Paragraphs>135</Paragraphs>
  <ScaleCrop>false</ScaleCrop>
  <Company>Author-it Software Corporation Ltd.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TLIX0025 Maintain fuel storage and dispensing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