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0CC" w:rsidP="009A7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TLIX0024 Install, modify and commission fuel storage and dispensing systems</w:t>
      </w:r>
      <w:r>
        <w:fldChar w:fldCharType="end"/>
      </w:r>
    </w:p>
    <w:p w:rsidR="009A70CC" w:rsidP="009A70CC">
      <w:pPr>
        <w:pStyle w:val="Version"/>
        <w:sectPr w:rsidSect="00D66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93B" w:rsidP="00D6693B">
      <w:pPr>
        <w:pStyle w:val="SuperHeading"/>
      </w:pPr>
      <w:r w:rsidRPr="00D6693B">
        <w:t>TLIX0024 Install, modify and commission fuel storage and dispensing systems</w:t>
      </w:r>
    </w:p>
    <w:p w:rsidR="00000000" w:rsidRPr="00D6693B" w:rsidP="00D6693B">
      <w:pPr>
        <w:pStyle w:val="Heading1"/>
      </w:pPr>
      <w:bookmarkStart w:id="1" w:name="O_1121476"/>
      <w:bookmarkEnd w:id="1"/>
      <w:r w:rsidRPr="00D669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t>Release 1. This is the first release of this unit of competency in the TLI Transport and Logistics Training Package.</w:t>
            </w:r>
          </w:p>
        </w:tc>
      </w:tr>
    </w:tbl>
    <w:p w:rsidR="00000000" w:rsidRPr="00D6693B" w:rsidP="00D6693B">
      <w:pPr>
        <w:pStyle w:val="NoPaddingFontSize1"/>
      </w:pPr>
    </w:p>
    <w:p w:rsidR="00000000" w:rsidRPr="00D6693B" w:rsidP="00D6693B">
      <w:pPr>
        <w:pStyle w:val="AllowPageBreak"/>
      </w:pPr>
    </w:p>
    <w:p w:rsidR="00000000" w:rsidRPr="00D6693B" w:rsidP="00D6693B">
      <w:pPr>
        <w:pStyle w:val="Heading1"/>
      </w:pPr>
      <w:bookmarkStart w:id="2" w:name="O_1121477"/>
      <w:bookmarkEnd w:id="2"/>
      <w:r w:rsidRPr="00D6693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t>This unit relates to the installation, modification and commissioning of fuel storage and dispensing systems, and completion of all required documentation and reporting.</w:t>
            </w:r>
          </w:p>
          <w:p w:rsidR="00000000" w:rsidRPr="00D6693B" w:rsidP="00D6693B">
            <w:pPr>
              <w:pStyle w:val="BodyText"/>
            </w:pPr>
            <w:r w:rsidRPr="00D6693B">
              <w:t>The unit covers above-ground and below-ground fuel storage tanks and appli</w:t>
            </w:r>
            <w:r w:rsidRPr="00D6693B">
              <w:t>es to work at sites which store and dispense diesel and motor spirit (petrol), including ethanol blends.</w:t>
            </w:r>
          </w:p>
          <w:p w:rsidR="00000000" w:rsidRPr="00D6693B" w:rsidP="00D6693B">
            <w:pPr>
              <w:pStyle w:val="BodyText"/>
            </w:pPr>
            <w:r w:rsidRPr="00D6693B">
              <w:t>This unit excludes tank lining and systems used for aviation fuel; and bulk fuel systems on military bases, major hazard facilities and bulk transfer t</w:t>
            </w:r>
            <w:r w:rsidRPr="00D6693B">
              <w:t>erminals.</w:t>
            </w:r>
          </w:p>
          <w:p w:rsidR="00000000" w:rsidRPr="00D6693B" w:rsidP="00D6693B">
            <w:pPr>
              <w:pStyle w:val="BodyText"/>
            </w:pPr>
            <w:r w:rsidRPr="00D6693B">
              <w:t xml:space="preserve">This unit is appropriate for supervisory personnel involved in the installation, modification and commissioning of fuel storage and handling systems. </w:t>
            </w:r>
          </w:p>
          <w:p w:rsidR="00000000" w:rsidRPr="00D6693B" w:rsidP="00D6693B">
            <w:pPr>
              <w:pStyle w:val="BodyText"/>
            </w:pPr>
            <w:r w:rsidRPr="00D6693B">
              <w:t>Licensing, legislative or certification requirements that apply to this unit may vary between j</w:t>
            </w:r>
            <w:r w:rsidRPr="00D6693B">
              <w:t>urisdictions and should be checked prior to commencing the unit.</w:t>
            </w:r>
          </w:p>
        </w:tc>
      </w:tr>
    </w:tbl>
    <w:p w:rsidR="00000000" w:rsidRPr="00D6693B" w:rsidP="00D6693B">
      <w:pPr>
        <w:pStyle w:val="NoPaddingFontSize1"/>
      </w:pPr>
    </w:p>
    <w:p w:rsidR="00000000" w:rsidRPr="00D6693B" w:rsidP="00D6693B">
      <w:pPr>
        <w:pStyle w:val="AllowPageBreak"/>
      </w:pPr>
    </w:p>
    <w:p w:rsidR="00000000" w:rsidRPr="00D6693B" w:rsidP="00D6693B">
      <w:pPr>
        <w:pStyle w:val="Heading1"/>
      </w:pPr>
      <w:bookmarkStart w:id="3" w:name="O_1121478"/>
      <w:bookmarkEnd w:id="3"/>
      <w:r w:rsidRPr="00D6693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t>Not applicable</w:t>
            </w:r>
          </w:p>
        </w:tc>
      </w:tr>
    </w:tbl>
    <w:p w:rsidR="00000000" w:rsidRPr="00D6693B" w:rsidP="00D6693B">
      <w:pPr>
        <w:pStyle w:val="NoPaddingFontSize1"/>
      </w:pPr>
    </w:p>
    <w:p w:rsidR="00000000" w:rsidRPr="00D6693B" w:rsidP="00D6693B">
      <w:pPr>
        <w:pStyle w:val="AllowPageBreak"/>
      </w:pPr>
    </w:p>
    <w:p w:rsidR="00000000" w:rsidRPr="00D6693B" w:rsidP="00D6693B">
      <w:pPr>
        <w:pStyle w:val="Heading1"/>
      </w:pPr>
      <w:bookmarkStart w:id="4" w:name="O_1121479"/>
      <w:bookmarkEnd w:id="4"/>
      <w:r w:rsidRPr="00D6693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t>Not applicable</w:t>
            </w:r>
          </w:p>
        </w:tc>
      </w:tr>
    </w:tbl>
    <w:p w:rsidR="00000000" w:rsidRPr="00D6693B" w:rsidP="00D6693B">
      <w:pPr>
        <w:pStyle w:val="NoPaddingFontSize1"/>
      </w:pPr>
    </w:p>
    <w:p w:rsidR="00000000" w:rsidRPr="00D6693B" w:rsidP="00D6693B">
      <w:pPr>
        <w:pStyle w:val="AllowPageBreak"/>
      </w:pPr>
    </w:p>
    <w:p w:rsidR="00000000" w:rsidRPr="00D6693B" w:rsidP="00D6693B">
      <w:pPr>
        <w:pStyle w:val="Heading1"/>
      </w:pPr>
      <w:bookmarkStart w:id="5" w:name="O_1121480"/>
      <w:bookmarkEnd w:id="5"/>
      <w:r w:rsidRPr="00D6693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t>Not applicable</w:t>
            </w:r>
          </w:p>
        </w:tc>
      </w:tr>
    </w:tbl>
    <w:p w:rsidR="00000000" w:rsidRPr="00D6693B" w:rsidP="00D6693B">
      <w:pPr>
        <w:pStyle w:val="NoPaddingFontSize1"/>
      </w:pPr>
    </w:p>
    <w:p w:rsidR="00000000" w:rsidRPr="00D6693B" w:rsidP="00D6693B">
      <w:pPr>
        <w:pStyle w:val="AllowPageBreak"/>
      </w:pPr>
    </w:p>
    <w:p w:rsidR="00000000" w:rsidRPr="00D6693B" w:rsidP="00D6693B">
      <w:pPr>
        <w:pStyle w:val="Heading1"/>
      </w:pPr>
      <w:bookmarkStart w:id="6" w:name="O_1121481"/>
      <w:bookmarkEnd w:id="6"/>
      <w:r w:rsidRPr="00D6693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PERFORMANCE CRITERIA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Performance criteria describe the performance needed to demonstrate achievement of the element.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rPr>
                <w:rStyle w:val="SpecialBold"/>
              </w:rPr>
              <w:t>Plan to install, modify and commission fuel storage and dispensing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Fuel system design, drawings and specifications are read and interpreted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Site conditions are determined, evaluated and accommodated in work plan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Existi</w:t>
            </w:r>
            <w:r w:rsidRPr="00D6693B">
              <w:t>ng site services are identified and accommodated in work plan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Tools, equipment and personnel required to complete work are determined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Authorisations, licences or permits required for work are identified and obtained by relevant personnel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1</w:t>
            </w:r>
            <w:r w:rsidRPr="00D6693B">
              <w:rPr>
                <w:rStyle w:val="SpecialBold"/>
              </w:rPr>
              <w:t>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Workplace documentation, site-specific requirements, industry standards and regulatory requirements are accessed and interpreted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Workplan is developed to ensure work is completed in correct sequence and in compliance with requirements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Safe work method statements (SWMS) are developed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Tools, equipment and personal protective equipment (PPE) required for work plan are identified and arranged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1.10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Human resource requirements are identified, and competency checked against requireme</w:t>
            </w:r>
            <w:r w:rsidRPr="00D6693B">
              <w:t>nts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rPr>
                <w:rStyle w:val="SpecialBold"/>
              </w:rPr>
              <w:t>Prepare to install, modify and commission fuel storage and dispensing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Site inductions are completed in accordance with workplace requirements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Risk assessments are completed, and controls and monitoring processes implement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Site personnel are briefed, and understanding of Emergency Response Plan (ERP), hazards, protection of existing site services, site works and operational requirements confirmed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Site signage, isolation and lock-out/tag-out requirements are implemente</w:t>
            </w:r>
            <w:r w:rsidRPr="00D6693B">
              <w:t>d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 xml:space="preserve">Materials, tools and equipment required are obtained and checked against requirements for correct operation and </w:t>
            </w:r>
            <w:r w:rsidRPr="00D6693B">
              <w:t>safety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Work is coordinated effectively with others on the worksite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SWMS for all work are reviewed with all site personnel and applied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rPr>
                <w:rStyle w:val="SpecialBold"/>
              </w:rPr>
              <w:t>Install fuel storage and dispensing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Site is prepared in accordance with design, drawings and specifications, and existing site services are protected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Excavations are c</w:t>
            </w:r>
            <w:r w:rsidRPr="00D6693B">
              <w:t>ompleted by appropriately skilled personnel in accordance with project specifications and site conditions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Tank is positioned and secured/backfilled in accordance with design, drawings and manufacturer requirements and specifications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Environmental secondary containment is installed in compliance with requirements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Pipework is installed in accordance with design, drawings and manufacturer requirements and specifications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 xml:space="preserve">Integrity testing pre-bury is arranged and any faults </w:t>
            </w:r>
            <w:r w:rsidRPr="00D6693B">
              <w:t>rectified in accordance with the requirements of Australian Standards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Backfilling and paving are completed, post-bury integrity testing arranged and any faults rectified in accordance with the requirements of Australian Standards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Dispensing gear is installed in accordance with design, drawings and manufacturer requirements and specifications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3.9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Fuel is circulated independent of site point of sale (POS) controls and correct grade/type confirmed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rPr>
                <w:rStyle w:val="SpecialBold"/>
              </w:rPr>
              <w:t>Modify fuel storage and dispens</w:t>
            </w:r>
            <w:r w:rsidRPr="00D6693B">
              <w:rPr>
                <w:rStyle w:val="SpecialBold"/>
              </w:rPr>
              <w:t>ing infrastructure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Modification of work plan is interpreted and applied including protection of existing site services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Modifications are completed in accordance with design, specification and manufacturer instructions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Testing is conducted</w:t>
            </w:r>
            <w:r w:rsidRPr="00D6693B">
              <w:t xml:space="preserve"> to ensure modifications meet industry standards and regulatory requirements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Additional work is undertaken as required in response to test results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rPr>
                <w:rStyle w:val="SpecialBold"/>
              </w:rPr>
              <w:t>Commission fuel storage and dispensing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Pre-commissioning activities are completed in accordance with workplan and manufacturer requirements and specifications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Commissioning workplan is completed in accordance with work plan and specification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Problems or non-conformance are identif</w:t>
            </w:r>
            <w:r w:rsidRPr="00D6693B">
              <w:t>ied, recorded, rectified and reported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Trials and tests of fuel storage systems are conducted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5.5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Fuel system is bought online including operation of the dispensing equipment via the POS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5.6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Required adjustments are made and recorded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5.7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Testing is conducted in accordance with industry standards and regulatory requirements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rPr>
                <w:rStyle w:val="SpecialBold"/>
              </w:rPr>
              <w:t>Complete work and reporting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Work completion is undertaken in accordance with workplan, SWMS and specifications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Site housekeeping is completed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6.3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 xml:space="preserve">Performance is recorded and reported 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6.4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>Compliance documentation and reporting is completed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6.5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t xml:space="preserve">Site handover to relevant person/s is completed in accordance with workplace procedures </w:t>
            </w:r>
          </w:p>
        </w:tc>
      </w:tr>
      <w:tr w:rsidTr="00D669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3B">
            <w:pPr>
              <w:pStyle w:val="BodyText"/>
              <w:rPr>
                <w:lang w:val="en-NZ"/>
              </w:rPr>
            </w:pPr>
            <w:r w:rsidRPr="00D6693B">
              <w:rPr>
                <w:rStyle w:val="SpecialBold"/>
              </w:rPr>
              <w:t>6.6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t>Authorities are advised of work completion in accordance with regulatory requirements</w:t>
            </w:r>
          </w:p>
        </w:tc>
      </w:tr>
    </w:tbl>
    <w:p w:rsidR="00000000" w:rsidRPr="00D6693B" w:rsidP="00D6693B">
      <w:pPr>
        <w:pStyle w:val="NoPaddingFontSize1"/>
      </w:pPr>
    </w:p>
    <w:p w:rsidR="00000000" w:rsidRPr="00D6693B" w:rsidP="00D6693B">
      <w:pPr>
        <w:pStyle w:val="AllowPageBreak"/>
      </w:pPr>
    </w:p>
    <w:p w:rsidR="00000000" w:rsidRPr="00D6693B" w:rsidP="00D6693B">
      <w:pPr>
        <w:pStyle w:val="Heading1"/>
      </w:pPr>
      <w:bookmarkStart w:id="7" w:name="O_1121482"/>
      <w:bookmarkEnd w:id="7"/>
      <w:r w:rsidRPr="00D6693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t>Foundation skills essential to performance are explicit in the performance criteria of this unit of competency.</w:t>
            </w:r>
          </w:p>
        </w:tc>
      </w:tr>
    </w:tbl>
    <w:p w:rsidR="00000000" w:rsidRPr="00D6693B" w:rsidP="00D6693B">
      <w:pPr>
        <w:pStyle w:val="NoPaddingFontSize1"/>
      </w:pPr>
    </w:p>
    <w:p w:rsidR="00000000" w:rsidRPr="00D6693B" w:rsidP="00D6693B">
      <w:pPr>
        <w:pStyle w:val="AllowPageBreak"/>
      </w:pPr>
    </w:p>
    <w:p w:rsidR="00000000" w:rsidRPr="00D6693B" w:rsidP="00D6693B">
      <w:pPr>
        <w:pStyle w:val="Heading1"/>
      </w:pPr>
      <w:bookmarkStart w:id="8" w:name="O_1121483"/>
      <w:bookmarkEnd w:id="8"/>
      <w:r w:rsidRPr="00D6693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t>Range is restricted to essential operating conditions and any other variables essential to the work environment.</w:t>
            </w:r>
          </w:p>
          <w:p w:rsidR="00000000" w:rsidRPr="00D6693B" w:rsidP="00D6693B">
            <w:pPr>
              <w:pStyle w:val="BodyText"/>
            </w:pPr>
            <w:r w:rsidRPr="00D6693B">
              <w:t>Non-essential conditions may be found in the TLI Transport and Logistics Training Package Companion Volume Impleme</w:t>
            </w:r>
            <w:r w:rsidRPr="00D6693B">
              <w:t>ntation Guide.</w:t>
            </w:r>
          </w:p>
          <w:p w:rsidR="00000000" w:rsidRPr="00D6693B" w:rsidP="00D6693B">
            <w:pPr>
              <w:pStyle w:val="BodyText"/>
            </w:pPr>
            <w:r w:rsidRPr="00D6693B">
              <w:t>This unit must be demonstrated related to work at a site:</w:t>
            </w:r>
          </w:p>
          <w:p w:rsidR="00000000" w:rsidRPr="00D6693B" w:rsidP="00D6693B">
            <w:pPr>
              <w:pStyle w:val="ListBullet"/>
            </w:pPr>
            <w:r w:rsidRPr="00D6693B">
              <w:t>with either above-ground or below-ground fuel storage tanks</w:t>
            </w:r>
          </w:p>
          <w:p w:rsidR="00000000" w:rsidRPr="00D6693B" w:rsidP="00D6693B">
            <w:pPr>
              <w:pStyle w:val="ListBullet"/>
            </w:pPr>
            <w:r w:rsidRPr="00D6693B">
              <w:t>which stores and dispenses diesel and motor spirit (petrol), including ethanol blends.</w:t>
            </w:r>
          </w:p>
          <w:p w:rsidR="00000000" w:rsidRPr="00D6693B" w:rsidP="00D6693B">
            <w:pPr>
              <w:pStyle w:val="BodyText"/>
            </w:pPr>
            <w:r w:rsidRPr="00D6693B">
              <w:t>This unit excludes:</w:t>
            </w:r>
          </w:p>
          <w:p w:rsidR="00000000" w:rsidRPr="00D6693B" w:rsidP="00D6693B">
            <w:pPr>
              <w:pStyle w:val="ListBullet"/>
            </w:pPr>
            <w:r w:rsidRPr="00D6693B">
              <w:t>tank lining</w:t>
            </w:r>
          </w:p>
          <w:p w:rsidR="00000000" w:rsidRPr="00D6693B" w:rsidP="00D6693B">
            <w:pPr>
              <w:pStyle w:val="ListBullet"/>
            </w:pPr>
            <w:r w:rsidRPr="00D6693B">
              <w:t>systems used for aviation fuel</w:t>
            </w:r>
          </w:p>
          <w:p w:rsidR="00000000" w:rsidRPr="00D6693B" w:rsidP="00D6693B">
            <w:pPr>
              <w:pStyle w:val="ListBullet"/>
            </w:pPr>
            <w:r w:rsidRPr="00D6693B">
              <w:t>bulk fuel systems on military bases</w:t>
            </w:r>
          </w:p>
          <w:p w:rsidR="00000000" w:rsidRPr="00D6693B" w:rsidP="00D6693B">
            <w:pPr>
              <w:pStyle w:val="ListBullet"/>
            </w:pPr>
            <w:r w:rsidRPr="00D6693B">
              <w:t>major hazard facilities</w:t>
            </w:r>
          </w:p>
          <w:p w:rsidR="00000000" w:rsidRPr="00D6693B" w:rsidP="00D6693B">
            <w:pPr>
              <w:pStyle w:val="ListBullet"/>
            </w:pPr>
            <w:r w:rsidRPr="00D6693B">
              <w:t>bulk transfer terminals.</w:t>
            </w:r>
          </w:p>
        </w:tc>
      </w:tr>
    </w:tbl>
    <w:p w:rsidR="00000000" w:rsidRPr="00D6693B" w:rsidP="00D6693B">
      <w:pPr>
        <w:pStyle w:val="NoPaddingFontSize1"/>
      </w:pPr>
    </w:p>
    <w:p w:rsidR="00000000" w:rsidRPr="00D6693B" w:rsidP="00D6693B">
      <w:pPr>
        <w:pStyle w:val="AllowPageBreak"/>
      </w:pPr>
    </w:p>
    <w:p w:rsidR="00000000" w:rsidRPr="00D6693B" w:rsidP="00D6693B">
      <w:pPr>
        <w:pStyle w:val="Heading1"/>
      </w:pPr>
      <w:bookmarkStart w:id="9" w:name="O_1121484"/>
      <w:bookmarkEnd w:id="9"/>
      <w:r w:rsidRPr="00D6693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3B" w:rsidP="00D6693B">
            <w:pPr>
              <w:pStyle w:val="BodyText"/>
            </w:pPr>
            <w:r w:rsidRPr="00D6693B">
              <w:t>This is a new unit. No equivalent unit.</w:t>
            </w:r>
          </w:p>
        </w:tc>
      </w:tr>
    </w:tbl>
    <w:p w:rsidR="00000000" w:rsidRPr="00D6693B" w:rsidP="00D6693B">
      <w:pPr>
        <w:pStyle w:val="NoPaddingFontSize1"/>
      </w:pPr>
    </w:p>
    <w:p w:rsidR="00000000" w:rsidRPr="00D6693B" w:rsidP="00D6693B">
      <w:pPr>
        <w:pStyle w:val="AllowPageBreak"/>
      </w:pPr>
    </w:p>
    <w:p w:rsidR="00000000" w:rsidRPr="00D6693B" w:rsidP="00D6693B">
      <w:pPr>
        <w:pStyle w:val="Heading1"/>
      </w:pPr>
      <w:bookmarkStart w:id="10" w:name="O_1121491"/>
      <w:bookmarkEnd w:id="10"/>
      <w:r w:rsidRPr="00D6693B">
        <w:t>Links</w:t>
      </w:r>
    </w:p>
    <w:p w:rsidR="00000000" w:rsidRPr="00D6693B" w:rsidP="009A70CC">
      <w:pPr>
        <w:pStyle w:val="BodyText"/>
      </w:pPr>
      <w:r w:rsidRPr="00D669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75EB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6693B" w:rsidP="00D6693B"/>
    <w:sectPr w:rsidSect="00D669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3B" w:rsidRPr="009A70CC" w:rsidP="009A7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0CC" w:rsidP="00D66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70CC" w:rsidP="00D66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A70CC" w:rsidP="00D66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0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93B" w:rsidRPr="009A70CC" w:rsidP="009A70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0CC" w:rsidRPr="002D2AF8" w:rsidP="00D66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TLIX0024 Install, modify and commission fuel storage and dispensing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A70CC" w:rsidP="00D66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7A0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605D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93B"/>
  </w:style>
  <w:style w:type="character" w:customStyle="1" w:styleId="Heading1Char">
    <w:name w:val="Heading 1 Char"/>
    <w:basedOn w:val="DefaultParagraphFont"/>
    <w:link w:val="Heading1"/>
    <w:rsid w:val="00D66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9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69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693B"/>
    <w:rPr>
      <w:b/>
      <w:spacing w:val="0"/>
    </w:rPr>
  </w:style>
  <w:style w:type="paragraph" w:customStyle="1" w:styleId="SuperHeading">
    <w:name w:val="SuperHeading"/>
    <w:basedOn w:val="Normal"/>
    <w:rsid w:val="00D66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6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9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9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6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69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6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9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93B"/>
    <w:rPr>
      <w:i/>
    </w:rPr>
  </w:style>
  <w:style w:type="paragraph" w:styleId="Caption">
    <w:name w:val="caption"/>
    <w:basedOn w:val="BodyText"/>
    <w:next w:val="Normal"/>
    <w:qFormat/>
    <w:rsid w:val="00D66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93B"/>
  </w:style>
  <w:style w:type="paragraph" w:styleId="TableofFigures">
    <w:name w:val="table of figures"/>
    <w:basedOn w:val="Normal"/>
    <w:next w:val="Normal"/>
    <w:semiHidden/>
    <w:rsid w:val="00D66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9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693B"/>
    <w:rPr>
      <w:rFonts w:ascii="Wingdings" w:hAnsi="Wingdings"/>
    </w:rPr>
  </w:style>
  <w:style w:type="paragraph" w:customStyle="1" w:styleId="TableHeading">
    <w:name w:val="Table Heading"/>
    <w:basedOn w:val="HeadingBase"/>
    <w:rsid w:val="00D66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93B"/>
    <w:rPr>
      <w:color w:val="0033CC"/>
      <w:u w:val="none"/>
    </w:rPr>
  </w:style>
  <w:style w:type="paragraph" w:customStyle="1" w:styleId="BodyTextRight">
    <w:name w:val="Body Text Right"/>
    <w:basedOn w:val="BodyText"/>
    <w:rsid w:val="00D66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9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93B"/>
    <w:rPr>
      <w:sz w:val="32"/>
    </w:rPr>
  </w:style>
  <w:style w:type="paragraph" w:customStyle="1" w:styleId="HeadingProcedure">
    <w:name w:val="Heading Procedure"/>
    <w:basedOn w:val="HeadingBase"/>
    <w:next w:val="Normal"/>
    <w:rsid w:val="00D66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93B"/>
    <w:pPr>
      <w:spacing w:before="60" w:after="60"/>
    </w:pPr>
  </w:style>
  <w:style w:type="paragraph" w:styleId="ListContinue">
    <w:name w:val="List Continue"/>
    <w:basedOn w:val="List"/>
    <w:rsid w:val="00D6693B"/>
    <w:pPr>
      <w:ind w:firstLine="0"/>
    </w:pPr>
  </w:style>
  <w:style w:type="paragraph" w:customStyle="1" w:styleId="ListNote">
    <w:name w:val="List Note"/>
    <w:basedOn w:val="List"/>
    <w:rsid w:val="00D66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93B"/>
    <w:rPr>
      <w:rFonts w:ascii="Courier New" w:hAnsi="Courier New"/>
    </w:rPr>
  </w:style>
  <w:style w:type="paragraph" w:customStyle="1" w:styleId="NoteBullet">
    <w:name w:val="Note Bullet"/>
    <w:basedOn w:val="Note"/>
    <w:rsid w:val="00D66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9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6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93B"/>
    <w:rPr>
      <w:b/>
      <w:smallCaps/>
    </w:rPr>
  </w:style>
  <w:style w:type="paragraph" w:customStyle="1" w:styleId="TableListNumber">
    <w:name w:val="Table List Number"/>
    <w:basedOn w:val="ListNumber"/>
    <w:rsid w:val="00D66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93B"/>
    <w:pPr>
      <w:numPr>
        <w:numId w:val="8"/>
      </w:numPr>
    </w:pPr>
  </w:style>
  <w:style w:type="paragraph" w:customStyle="1" w:styleId="ListAlpha2">
    <w:name w:val="List Alpha 2"/>
    <w:basedOn w:val="List2"/>
    <w:rsid w:val="00D6693B"/>
    <w:pPr>
      <w:numPr>
        <w:numId w:val="7"/>
      </w:numPr>
    </w:pPr>
  </w:style>
  <w:style w:type="paragraph" w:styleId="List2">
    <w:name w:val="List 2"/>
    <w:basedOn w:val="BodyText"/>
    <w:rsid w:val="00D669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9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9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9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693B"/>
    <w:pPr>
      <w:numPr>
        <w:numId w:val="3"/>
      </w:numPr>
    </w:pPr>
  </w:style>
  <w:style w:type="paragraph" w:styleId="ListContinue2">
    <w:name w:val="List Continue 2"/>
    <w:basedOn w:val="List2"/>
    <w:rsid w:val="00D6693B"/>
    <w:pPr>
      <w:ind w:firstLine="0"/>
    </w:pPr>
  </w:style>
  <w:style w:type="paragraph" w:styleId="ListContinue3">
    <w:name w:val="List Continue 3"/>
    <w:basedOn w:val="List3"/>
    <w:rsid w:val="00D6693B"/>
    <w:pPr>
      <w:ind w:left="1021" w:firstLine="0"/>
    </w:pPr>
  </w:style>
  <w:style w:type="paragraph" w:styleId="ListContinue4">
    <w:name w:val="List Continue 4"/>
    <w:basedOn w:val="List4"/>
    <w:rsid w:val="00D6693B"/>
    <w:pPr>
      <w:ind w:firstLine="0"/>
    </w:pPr>
  </w:style>
  <w:style w:type="paragraph" w:styleId="ListContinue5">
    <w:name w:val="List Continue 5"/>
    <w:basedOn w:val="List5"/>
    <w:rsid w:val="00D6693B"/>
    <w:pPr>
      <w:ind w:firstLine="0"/>
    </w:pPr>
  </w:style>
  <w:style w:type="paragraph" w:styleId="ListNumber3">
    <w:name w:val="List Number 3"/>
    <w:basedOn w:val="List3"/>
    <w:rsid w:val="00D6693B"/>
    <w:pPr>
      <w:numPr>
        <w:numId w:val="4"/>
      </w:numPr>
    </w:pPr>
  </w:style>
  <w:style w:type="paragraph" w:styleId="ListNumber4">
    <w:name w:val="List Number 4"/>
    <w:basedOn w:val="List4"/>
    <w:rsid w:val="00D6693B"/>
    <w:pPr>
      <w:numPr>
        <w:numId w:val="5"/>
      </w:numPr>
    </w:pPr>
  </w:style>
  <w:style w:type="paragraph" w:styleId="ListNumber5">
    <w:name w:val="List Number 5"/>
    <w:basedOn w:val="List5"/>
    <w:rsid w:val="00D6693B"/>
    <w:pPr>
      <w:numPr>
        <w:numId w:val="6"/>
      </w:numPr>
    </w:pPr>
  </w:style>
  <w:style w:type="paragraph" w:styleId="BlockText">
    <w:name w:val="Block Text"/>
    <w:basedOn w:val="Normal"/>
    <w:rsid w:val="00D66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93B"/>
    <w:rPr>
      <w:sz w:val="16"/>
      <w:vertAlign w:val="superscript"/>
    </w:rPr>
  </w:style>
  <w:style w:type="character" w:customStyle="1" w:styleId="Symbols">
    <w:name w:val="Symbols"/>
    <w:basedOn w:val="DefaultParagraphFont"/>
    <w:rsid w:val="00D6693B"/>
    <w:rPr>
      <w:rFonts w:ascii="Symbol" w:hAnsi="Symbol"/>
    </w:rPr>
  </w:style>
  <w:style w:type="character" w:customStyle="1" w:styleId="MenuOptions">
    <w:name w:val="Menu Options"/>
    <w:basedOn w:val="DefaultParagraphFont"/>
    <w:rsid w:val="00D66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93B"/>
    <w:rPr>
      <w:b/>
    </w:rPr>
  </w:style>
  <w:style w:type="character" w:customStyle="1" w:styleId="Underlined">
    <w:name w:val="Underlined"/>
    <w:basedOn w:val="DefaultParagraphFont"/>
    <w:rsid w:val="00D6693B"/>
    <w:rPr>
      <w:u w:val="single"/>
    </w:rPr>
  </w:style>
  <w:style w:type="paragraph" w:customStyle="1" w:styleId="TableBodyTextRight">
    <w:name w:val="Table Body Text Right"/>
    <w:basedOn w:val="TableBodyText"/>
    <w:rsid w:val="00D66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93B"/>
    <w:rPr>
      <w:sz w:val="18"/>
    </w:rPr>
  </w:style>
  <w:style w:type="paragraph" w:customStyle="1" w:styleId="BodySmallRight">
    <w:name w:val="Body Small Right"/>
    <w:basedOn w:val="BodyTextRight"/>
    <w:rsid w:val="00D6693B"/>
    <w:rPr>
      <w:sz w:val="18"/>
      <w:szCs w:val="18"/>
    </w:rPr>
  </w:style>
  <w:style w:type="paragraph" w:customStyle="1" w:styleId="MarginEdition">
    <w:name w:val="Margin Edition"/>
    <w:basedOn w:val="MarginNote"/>
    <w:rsid w:val="00D66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93B"/>
    <w:rPr>
      <w:sz w:val="2"/>
      <w:szCs w:val="2"/>
    </w:rPr>
  </w:style>
  <w:style w:type="character" w:customStyle="1" w:styleId="Small">
    <w:name w:val="Small"/>
    <w:basedOn w:val="DefaultParagraphFont"/>
    <w:rsid w:val="00D6693B"/>
    <w:rPr>
      <w:sz w:val="16"/>
    </w:rPr>
  </w:style>
  <w:style w:type="paragraph" w:customStyle="1" w:styleId="WideTable">
    <w:name w:val="Wide Table"/>
    <w:basedOn w:val="Normal"/>
    <w:rsid w:val="00D66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93B"/>
  </w:style>
  <w:style w:type="paragraph" w:styleId="Quote">
    <w:name w:val="Quote"/>
    <w:basedOn w:val="Heading1"/>
    <w:link w:val="QuoteChar"/>
    <w:qFormat/>
    <w:rsid w:val="00D66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93B"/>
    <w:pPr>
      <w:pageBreakBefore/>
    </w:pPr>
  </w:style>
  <w:style w:type="paragraph" w:customStyle="1" w:styleId="Border">
    <w:name w:val="Border"/>
    <w:basedOn w:val="Normal"/>
    <w:qFormat/>
    <w:rsid w:val="00D66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93B"/>
    <w:rPr>
      <w:u w:val="single"/>
    </w:rPr>
  </w:style>
  <w:style w:type="character" w:customStyle="1" w:styleId="BoldandItalics">
    <w:name w:val="Bold and Italics"/>
    <w:qFormat/>
    <w:rsid w:val="00D6693B"/>
    <w:rPr>
      <w:b/>
      <w:i/>
      <w:u w:val="none"/>
    </w:rPr>
  </w:style>
  <w:style w:type="paragraph" w:styleId="BalloonText">
    <w:name w:val="Balloon Text"/>
    <w:basedOn w:val="Normal"/>
    <w:link w:val="BalloonTextChar"/>
    <w:rsid w:val="00D66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93B"/>
    <w:pPr>
      <w:spacing w:before="0" w:after="0"/>
    </w:pPr>
  </w:style>
  <w:style w:type="paragraph" w:customStyle="1" w:styleId="BodyTextBold">
    <w:name w:val="Body Text Bold"/>
    <w:basedOn w:val="BodyText"/>
    <w:qFormat/>
    <w:rsid w:val="00D6693B"/>
    <w:rPr>
      <w:b/>
    </w:rPr>
  </w:style>
  <w:style w:type="character" w:styleId="Hyperlink">
    <w:name w:val="Hyperlink"/>
    <w:basedOn w:val="DefaultParagraphFont"/>
    <w:uiPriority w:val="99"/>
    <w:unhideWhenUsed/>
    <w:rsid w:val="009A7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971</Words>
  <Characters>6111</Characters>
  <Application>Microsoft Office Word</Application>
  <DocSecurity>0</DocSecurity>
  <Lines>321</Lines>
  <Paragraphs>164</Paragraphs>
  <ScaleCrop>false</ScaleCrop>
  <Company>Author-it Software Corporation Ltd.</Company>
  <LinksUpToDate>false</LinksUpToDate>
  <CharactersWithSpaces>6918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TLIX0024 Install, modify and commission fuel storage and dispensing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