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B3C" w:rsidP="00D23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TLIX0023 Identify the roles and functions of the supply chain industry</w:t>
      </w:r>
      <w:r>
        <w:fldChar w:fldCharType="end"/>
      </w:r>
    </w:p>
    <w:p w:rsidR="00D23B3C" w:rsidP="00D23B3C">
      <w:pPr>
        <w:pStyle w:val="Version"/>
        <w:sectPr w:rsidSect="00FD7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7A79" w:rsidP="00FD7A79">
      <w:pPr>
        <w:pStyle w:val="SuperHeading"/>
      </w:pPr>
      <w:r w:rsidRPr="00FD7A79">
        <w:t>TLIX0023 Identify the roles and functions of the supply chain industry</w:t>
      </w:r>
    </w:p>
    <w:p w:rsidR="00000000" w:rsidRPr="00FD7A79" w:rsidP="00FD7A79">
      <w:pPr>
        <w:pStyle w:val="Heading1"/>
      </w:pPr>
      <w:bookmarkStart w:id="1" w:name="O_1121457"/>
      <w:bookmarkEnd w:id="1"/>
      <w:r w:rsidRPr="00FD7A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Release 1. This is the first release of this unit of competency in the TLI Transport and Logistics Training Package.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2" w:name="O_1121458"/>
      <w:bookmarkEnd w:id="2"/>
      <w:r w:rsidRPr="00FD7A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This unit involves the skills and knowledge required to identify the roles and functions of the supply chain industry.</w:t>
            </w:r>
          </w:p>
          <w:p w:rsidR="00000000" w:rsidRPr="00FD7A79" w:rsidP="00FD7A79">
            <w:pPr>
              <w:pStyle w:val="BodyText"/>
            </w:pPr>
            <w:r w:rsidRPr="00FD7A79">
              <w:t>This unit includes identifying the components of a supply chain, legislative framework and the role and functions within an o</w:t>
            </w:r>
            <w:r w:rsidRPr="00FD7A79">
              <w:t>rganisational structure. It also includes recognising customers and stakeholders, identifying employment pathways, and technology and equipment in the supply chain industry.</w:t>
            </w:r>
          </w:p>
          <w:p w:rsidR="00000000" w:rsidRPr="00FD7A79" w:rsidP="00FD7A79">
            <w:pPr>
              <w:pStyle w:val="BodyText"/>
            </w:pPr>
            <w:r w:rsidRPr="00FD7A79">
              <w:t>Work is performed under some supervision generally within a team environment.</w:t>
            </w:r>
          </w:p>
          <w:p w:rsidR="00000000" w:rsidRPr="00FD7A79" w:rsidP="00FD7A79">
            <w:pPr>
              <w:pStyle w:val="BodyText"/>
            </w:pPr>
            <w:r w:rsidRPr="00FD7A79">
              <w:t>No l</w:t>
            </w:r>
            <w:r w:rsidRPr="00FD7A79">
              <w:t>icensing, legislative or certification requirements apply to this unit at the time of publication.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3" w:name="O_1121459"/>
      <w:bookmarkEnd w:id="3"/>
      <w:r w:rsidRPr="00FD7A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Not applicable.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4" w:name="O_1121460"/>
      <w:bookmarkEnd w:id="4"/>
      <w:r w:rsidRPr="00FD7A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Logistics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5" w:name="O_1121461"/>
      <w:bookmarkEnd w:id="5"/>
      <w:r w:rsidRPr="00FD7A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Not applicable.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6" w:name="O_1121462"/>
      <w:bookmarkEnd w:id="6"/>
      <w:r w:rsidRPr="00FD7A7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PERFORMANCE CRITERIA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Performance criteria describe the performance needed to demonstrate achievement of the element.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Identify components and functions of a supply chain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 xml:space="preserve">Participants and the purpose of their roles in a supply chain are identified 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Relationship between supply chain components is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Operational processes in a supply chain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Work roles and functions within a supply chain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Relationships of operational processes in a supply chain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Recognise customers and stakeholders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 xml:space="preserve">Internal </w:t>
            </w:r>
            <w:r w:rsidRPr="00FD7A79">
              <w:t>and external stakeholders and customers of a supply chain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Internal and external stakeholders</w:t>
            </w:r>
            <w:r>
              <w:t>’</w:t>
            </w:r>
            <w:r w:rsidRPr="00FD7A79">
              <w:t xml:space="preserve"> respective roles within the supply chain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Services provided to customers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Identify legislative framework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Bodies responsible for establishing and managing standards for supply chain organisations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Legislation, regulations, regulatory bodies and licensing requirements governing the industry are determined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Identify role functions in organisational 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Organisational structures, work roles and functions are described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Organisational structure of the supply chain industry and the structural relationship between occupations, functions and classification grouping is outlined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Equipment and technology features and functions used in the workplace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Individual responsibilities stated in workplace policies and procedures are demonstrated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Rights and responsibilities of workers under contracts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Job roles associated with occupations in the transport industry are summarised with</w:t>
            </w:r>
            <w:r w:rsidRPr="00FD7A79">
              <w:t>in each mode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 xml:space="preserve">Identify employment pathways in the </w:t>
            </w:r>
            <w:r w:rsidRPr="00FD7A79">
              <w:t>s</w:t>
            </w:r>
            <w:r w:rsidRPr="00FD7A79">
              <w:rPr>
                <w:rStyle w:val="SpecialBold"/>
              </w:rPr>
              <w:t xml:space="preserve">upply </w:t>
            </w:r>
            <w:r w:rsidRPr="00FD7A79">
              <w:t>c</w:t>
            </w:r>
            <w:r w:rsidRPr="00FD7A79">
              <w:rPr>
                <w:rStyle w:val="SpecialBold"/>
              </w:rPr>
              <w:t>hain industry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Diversity and inclusion opportunities in job roles are identified as they apply to the supply chain industry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 xml:space="preserve">Support roles that assist operational departments within </w:t>
            </w:r>
            <w:r w:rsidRPr="00FD7A79">
              <w:t>the supply chain industry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Forms of employment are determined and classified within the supply chain industry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Career development pathways and training opportunities within</w:t>
            </w:r>
            <w:r w:rsidRPr="00FD7A79">
              <w:t xml:space="preserve"> the supply chain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rPr>
                <w:rStyle w:val="SpecialBold"/>
              </w:rPr>
              <w:t>Identify technology and equipment in the supply chain industry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t>Technology systems used in the supply chain industry are identified</w:t>
            </w:r>
          </w:p>
        </w:tc>
      </w:tr>
      <w:tr w:rsidTr="00FD7A7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A79">
            <w:pPr>
              <w:pStyle w:val="BodyText"/>
              <w:rPr>
                <w:lang w:val="en-NZ"/>
              </w:rPr>
            </w:pPr>
            <w:r w:rsidRPr="00FD7A79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Functionality and application of vehicles, plant and equipment are identified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7" w:name="O_1121463"/>
      <w:bookmarkEnd w:id="7"/>
      <w:r w:rsidRPr="00FD7A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Foundation skills essential to performance are explicit in the performance criteria of this unit of competency.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8" w:name="O_1121464"/>
      <w:bookmarkEnd w:id="8"/>
      <w:r w:rsidRPr="00FD7A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Range is restricted to essential operating conditions and any other variables essential to the work environment.</w:t>
            </w:r>
          </w:p>
          <w:p w:rsidR="00000000" w:rsidRPr="00FD7A79" w:rsidP="00FD7A79">
            <w:pPr>
              <w:pStyle w:val="BodyText"/>
            </w:pPr>
            <w:r w:rsidRPr="00FD7A79">
              <w:t>Non-essential conditions may be found in the TLI Transport and Logistics Training Package Companion Volume Implementation Guide.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9" w:name="O_1121465"/>
      <w:bookmarkEnd w:id="9"/>
      <w:r w:rsidRPr="00FD7A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7A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A79" w:rsidP="00FD7A79">
            <w:pPr>
              <w:pStyle w:val="BodyText"/>
            </w:pPr>
            <w:r w:rsidRPr="00FD7A79">
              <w:t>This is a new unit. No equivalent unit.</w:t>
            </w:r>
          </w:p>
        </w:tc>
      </w:tr>
    </w:tbl>
    <w:p w:rsidR="00000000" w:rsidRPr="00FD7A79" w:rsidP="00FD7A79">
      <w:pPr>
        <w:pStyle w:val="NoPaddingFontSize1"/>
      </w:pPr>
    </w:p>
    <w:p w:rsidR="00000000" w:rsidRPr="00FD7A79" w:rsidP="00FD7A79">
      <w:pPr>
        <w:pStyle w:val="AllowPageBreak"/>
      </w:pPr>
    </w:p>
    <w:p w:rsidR="00000000" w:rsidRPr="00FD7A79" w:rsidP="00FD7A79">
      <w:pPr>
        <w:pStyle w:val="Heading1"/>
      </w:pPr>
      <w:bookmarkStart w:id="10" w:name="O_1121472"/>
      <w:bookmarkEnd w:id="10"/>
      <w:r w:rsidRPr="00FD7A79">
        <w:t>Links</w:t>
      </w:r>
    </w:p>
    <w:p w:rsidR="00000000" w:rsidRPr="00FD7A79" w:rsidP="00D23B3C">
      <w:pPr>
        <w:pStyle w:val="BodyText"/>
      </w:pPr>
      <w:r w:rsidRPr="00FD7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32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D7A79" w:rsidP="00FD7A79"/>
    <w:sectPr w:rsidSect="00FD7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79" w:rsidRPr="00D23B3C" w:rsidP="00D23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3C" w:rsidP="00FD7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3B3C" w:rsidP="00FD7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3B3C" w:rsidP="00FD7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A79" w:rsidRPr="00D23B3C" w:rsidP="00D23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B3C" w:rsidRPr="002D2AF8" w:rsidP="00FD7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TLIX0023 Identify the roles and functions of the supply chain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23B3C" w:rsidP="00FD7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A79"/>
  </w:style>
  <w:style w:type="character" w:customStyle="1" w:styleId="Heading1Char">
    <w:name w:val="Heading 1 Char"/>
    <w:basedOn w:val="DefaultParagraphFont"/>
    <w:link w:val="Heading1"/>
    <w:rsid w:val="00FD7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A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7A79"/>
    <w:rPr>
      <w:b/>
      <w:spacing w:val="0"/>
    </w:rPr>
  </w:style>
  <w:style w:type="paragraph" w:customStyle="1" w:styleId="SuperHeading">
    <w:name w:val="SuperHeading"/>
    <w:basedOn w:val="Normal"/>
    <w:rsid w:val="00FD7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7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A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A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A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A79"/>
    <w:rPr>
      <w:i/>
    </w:rPr>
  </w:style>
  <w:style w:type="paragraph" w:styleId="Caption">
    <w:name w:val="caption"/>
    <w:basedOn w:val="BodyText"/>
    <w:next w:val="Normal"/>
    <w:qFormat/>
    <w:rsid w:val="00FD7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A79"/>
  </w:style>
  <w:style w:type="paragraph" w:styleId="TableofFigures">
    <w:name w:val="table of figures"/>
    <w:basedOn w:val="Normal"/>
    <w:next w:val="Normal"/>
    <w:semiHidden/>
    <w:rsid w:val="00FD7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A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7A79"/>
    <w:rPr>
      <w:rFonts w:ascii="Wingdings" w:hAnsi="Wingdings"/>
    </w:rPr>
  </w:style>
  <w:style w:type="paragraph" w:customStyle="1" w:styleId="TableHeading">
    <w:name w:val="Table Heading"/>
    <w:basedOn w:val="HeadingBase"/>
    <w:rsid w:val="00FD7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A79"/>
    <w:rPr>
      <w:color w:val="0033CC"/>
      <w:u w:val="none"/>
    </w:rPr>
  </w:style>
  <w:style w:type="paragraph" w:customStyle="1" w:styleId="BodyTextRight">
    <w:name w:val="Body Text Right"/>
    <w:basedOn w:val="BodyText"/>
    <w:rsid w:val="00FD7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A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A79"/>
    <w:rPr>
      <w:sz w:val="32"/>
    </w:rPr>
  </w:style>
  <w:style w:type="paragraph" w:customStyle="1" w:styleId="HeadingProcedure">
    <w:name w:val="Heading Procedure"/>
    <w:basedOn w:val="HeadingBase"/>
    <w:next w:val="Normal"/>
    <w:rsid w:val="00FD7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A79"/>
    <w:pPr>
      <w:spacing w:before="60" w:after="60"/>
    </w:pPr>
  </w:style>
  <w:style w:type="paragraph" w:styleId="ListContinue">
    <w:name w:val="List Continue"/>
    <w:basedOn w:val="List"/>
    <w:rsid w:val="00FD7A79"/>
    <w:pPr>
      <w:ind w:firstLine="0"/>
    </w:pPr>
  </w:style>
  <w:style w:type="paragraph" w:customStyle="1" w:styleId="ListNote">
    <w:name w:val="List Note"/>
    <w:basedOn w:val="List"/>
    <w:rsid w:val="00FD7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A79"/>
    <w:rPr>
      <w:rFonts w:ascii="Courier New" w:hAnsi="Courier New"/>
    </w:rPr>
  </w:style>
  <w:style w:type="paragraph" w:customStyle="1" w:styleId="NoteBullet">
    <w:name w:val="Note Bullet"/>
    <w:basedOn w:val="Note"/>
    <w:rsid w:val="00FD7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A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7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A79"/>
    <w:rPr>
      <w:b/>
      <w:smallCaps/>
    </w:rPr>
  </w:style>
  <w:style w:type="paragraph" w:customStyle="1" w:styleId="TableListNumber">
    <w:name w:val="Table List Number"/>
    <w:basedOn w:val="ListNumber"/>
    <w:rsid w:val="00FD7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A79"/>
    <w:pPr>
      <w:numPr>
        <w:numId w:val="7"/>
      </w:numPr>
    </w:pPr>
  </w:style>
  <w:style w:type="paragraph" w:customStyle="1" w:styleId="ListAlpha2">
    <w:name w:val="List Alpha 2"/>
    <w:basedOn w:val="List2"/>
    <w:rsid w:val="00FD7A79"/>
    <w:pPr>
      <w:numPr>
        <w:numId w:val="6"/>
      </w:numPr>
    </w:pPr>
  </w:style>
  <w:style w:type="paragraph" w:styleId="List2">
    <w:name w:val="List 2"/>
    <w:basedOn w:val="BodyText"/>
    <w:rsid w:val="00FD7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A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A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7A79"/>
    <w:pPr>
      <w:numPr>
        <w:numId w:val="2"/>
      </w:numPr>
    </w:pPr>
  </w:style>
  <w:style w:type="paragraph" w:styleId="ListContinue2">
    <w:name w:val="List Continue 2"/>
    <w:basedOn w:val="List2"/>
    <w:rsid w:val="00FD7A79"/>
    <w:pPr>
      <w:ind w:firstLine="0"/>
    </w:pPr>
  </w:style>
  <w:style w:type="paragraph" w:styleId="ListContinue3">
    <w:name w:val="List Continue 3"/>
    <w:basedOn w:val="List3"/>
    <w:rsid w:val="00FD7A79"/>
    <w:pPr>
      <w:ind w:left="1021" w:firstLine="0"/>
    </w:pPr>
  </w:style>
  <w:style w:type="paragraph" w:styleId="ListContinue4">
    <w:name w:val="List Continue 4"/>
    <w:basedOn w:val="List4"/>
    <w:rsid w:val="00FD7A79"/>
    <w:pPr>
      <w:ind w:firstLine="0"/>
    </w:pPr>
  </w:style>
  <w:style w:type="paragraph" w:styleId="ListContinue5">
    <w:name w:val="List Continue 5"/>
    <w:basedOn w:val="List5"/>
    <w:rsid w:val="00FD7A79"/>
    <w:pPr>
      <w:ind w:firstLine="0"/>
    </w:pPr>
  </w:style>
  <w:style w:type="paragraph" w:styleId="ListNumber3">
    <w:name w:val="List Number 3"/>
    <w:basedOn w:val="List3"/>
    <w:rsid w:val="00FD7A79"/>
    <w:pPr>
      <w:numPr>
        <w:numId w:val="3"/>
      </w:numPr>
    </w:pPr>
  </w:style>
  <w:style w:type="paragraph" w:styleId="ListNumber4">
    <w:name w:val="List Number 4"/>
    <w:basedOn w:val="List4"/>
    <w:rsid w:val="00FD7A79"/>
    <w:pPr>
      <w:numPr>
        <w:numId w:val="4"/>
      </w:numPr>
    </w:pPr>
  </w:style>
  <w:style w:type="paragraph" w:styleId="ListNumber5">
    <w:name w:val="List Number 5"/>
    <w:basedOn w:val="List5"/>
    <w:rsid w:val="00FD7A79"/>
    <w:pPr>
      <w:numPr>
        <w:numId w:val="5"/>
      </w:numPr>
    </w:pPr>
  </w:style>
  <w:style w:type="paragraph" w:styleId="BlockText">
    <w:name w:val="Block Text"/>
    <w:basedOn w:val="Normal"/>
    <w:rsid w:val="00FD7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A79"/>
    <w:rPr>
      <w:sz w:val="16"/>
      <w:vertAlign w:val="superscript"/>
    </w:rPr>
  </w:style>
  <w:style w:type="character" w:customStyle="1" w:styleId="Symbols">
    <w:name w:val="Symbols"/>
    <w:basedOn w:val="DefaultParagraphFont"/>
    <w:rsid w:val="00FD7A79"/>
    <w:rPr>
      <w:rFonts w:ascii="Symbol" w:hAnsi="Symbol"/>
    </w:rPr>
  </w:style>
  <w:style w:type="character" w:customStyle="1" w:styleId="MenuOptions">
    <w:name w:val="Menu Options"/>
    <w:basedOn w:val="DefaultParagraphFont"/>
    <w:rsid w:val="00FD7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A79"/>
    <w:rPr>
      <w:b/>
    </w:rPr>
  </w:style>
  <w:style w:type="character" w:customStyle="1" w:styleId="Underlined">
    <w:name w:val="Underlined"/>
    <w:basedOn w:val="DefaultParagraphFont"/>
    <w:rsid w:val="00FD7A79"/>
    <w:rPr>
      <w:u w:val="single"/>
    </w:rPr>
  </w:style>
  <w:style w:type="paragraph" w:customStyle="1" w:styleId="TableBodyTextRight">
    <w:name w:val="Table Body Text Right"/>
    <w:basedOn w:val="TableBodyText"/>
    <w:rsid w:val="00FD7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A79"/>
    <w:rPr>
      <w:sz w:val="18"/>
    </w:rPr>
  </w:style>
  <w:style w:type="paragraph" w:customStyle="1" w:styleId="BodySmallRight">
    <w:name w:val="Body Small Right"/>
    <w:basedOn w:val="BodyTextRight"/>
    <w:rsid w:val="00FD7A79"/>
    <w:rPr>
      <w:sz w:val="18"/>
      <w:szCs w:val="18"/>
    </w:rPr>
  </w:style>
  <w:style w:type="paragraph" w:customStyle="1" w:styleId="MarginEdition">
    <w:name w:val="Margin Edition"/>
    <w:basedOn w:val="MarginNote"/>
    <w:rsid w:val="00FD7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A79"/>
    <w:rPr>
      <w:sz w:val="2"/>
      <w:szCs w:val="2"/>
    </w:rPr>
  </w:style>
  <w:style w:type="character" w:customStyle="1" w:styleId="Small">
    <w:name w:val="Small"/>
    <w:basedOn w:val="DefaultParagraphFont"/>
    <w:rsid w:val="00FD7A79"/>
    <w:rPr>
      <w:sz w:val="16"/>
    </w:rPr>
  </w:style>
  <w:style w:type="paragraph" w:customStyle="1" w:styleId="WideTable">
    <w:name w:val="Wide Table"/>
    <w:basedOn w:val="Normal"/>
    <w:rsid w:val="00FD7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A79"/>
  </w:style>
  <w:style w:type="paragraph" w:styleId="Quote">
    <w:name w:val="Quote"/>
    <w:basedOn w:val="Heading1"/>
    <w:link w:val="QuoteChar"/>
    <w:qFormat/>
    <w:rsid w:val="00FD7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A79"/>
    <w:pPr>
      <w:pageBreakBefore/>
    </w:pPr>
  </w:style>
  <w:style w:type="paragraph" w:customStyle="1" w:styleId="Border">
    <w:name w:val="Border"/>
    <w:basedOn w:val="Normal"/>
    <w:qFormat/>
    <w:rsid w:val="00FD7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A79"/>
    <w:rPr>
      <w:u w:val="single"/>
    </w:rPr>
  </w:style>
  <w:style w:type="character" w:customStyle="1" w:styleId="BoldandItalics">
    <w:name w:val="Bold and Italics"/>
    <w:qFormat/>
    <w:rsid w:val="00FD7A79"/>
    <w:rPr>
      <w:b/>
      <w:i/>
      <w:u w:val="none"/>
    </w:rPr>
  </w:style>
  <w:style w:type="paragraph" w:styleId="BalloonText">
    <w:name w:val="Balloon Text"/>
    <w:basedOn w:val="Normal"/>
    <w:link w:val="BalloonTextChar"/>
    <w:rsid w:val="00FD7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A79"/>
    <w:pPr>
      <w:spacing w:before="0" w:after="0"/>
    </w:pPr>
  </w:style>
  <w:style w:type="paragraph" w:customStyle="1" w:styleId="BodyTextBold">
    <w:name w:val="Body Text Bold"/>
    <w:basedOn w:val="BodyText"/>
    <w:qFormat/>
    <w:rsid w:val="00FD7A79"/>
    <w:rPr>
      <w:b/>
    </w:rPr>
  </w:style>
  <w:style w:type="character" w:styleId="Hyperlink">
    <w:name w:val="Hyperlink"/>
    <w:basedOn w:val="DefaultParagraphFont"/>
    <w:uiPriority w:val="99"/>
    <w:unhideWhenUsed/>
    <w:rsid w:val="00D23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3709</Characters>
  <Application>Microsoft Office Word</Application>
  <DocSecurity>0</DocSecurity>
  <Lines>195</Lines>
  <Paragraphs>104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TLIX0023 Identify the roles and functions of the supply chain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