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21C" w:rsidP="00F07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TLIX0022 Decommission fuel storage and dispensing systems</w:t>
      </w:r>
      <w:r>
        <w:fldChar w:fldCharType="end"/>
      </w:r>
    </w:p>
    <w:p w:rsidR="00F0721C" w:rsidP="00F0721C">
      <w:pPr>
        <w:pStyle w:val="Version"/>
        <w:sectPr w:rsidSect="00DA1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BFC" w:rsidP="00DA1BFC">
      <w:pPr>
        <w:pStyle w:val="SuperHeading"/>
      </w:pPr>
      <w:r w:rsidRPr="00DA1BFC">
        <w:t>TLIX0022 Decommission fuel storage and dispensing systems</w:t>
      </w:r>
    </w:p>
    <w:p w:rsidR="00000000" w:rsidRPr="00DA1BFC" w:rsidP="00DA1BFC">
      <w:pPr>
        <w:pStyle w:val="Heading1"/>
      </w:pPr>
      <w:bookmarkStart w:id="1" w:name="O_1121438"/>
      <w:bookmarkEnd w:id="1"/>
      <w:r w:rsidRPr="00DA1BF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t>Release 1. This is the first release of this unit of competency in the TLI Transport and Logistics Training Package.</w:t>
            </w:r>
          </w:p>
        </w:tc>
      </w:tr>
    </w:tbl>
    <w:p w:rsidR="00000000" w:rsidRPr="00DA1BFC" w:rsidP="00DA1BFC">
      <w:pPr>
        <w:pStyle w:val="NoPaddingFontSize1"/>
      </w:pPr>
    </w:p>
    <w:p w:rsidR="00000000" w:rsidRPr="00DA1BFC" w:rsidP="00DA1BFC">
      <w:pPr>
        <w:pStyle w:val="AllowPageBreak"/>
      </w:pPr>
    </w:p>
    <w:p w:rsidR="00000000" w:rsidRPr="00DA1BFC" w:rsidP="00DA1BFC">
      <w:pPr>
        <w:pStyle w:val="Heading1"/>
      </w:pPr>
      <w:bookmarkStart w:id="2" w:name="O_1121439"/>
      <w:bookmarkEnd w:id="2"/>
      <w:r w:rsidRPr="00DA1BF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t>This unit relates to the decommissioning of fuel storage and dispen</w:t>
            </w:r>
            <w:r w:rsidRPr="00DA1BFC">
              <w:t>sing systems and completion of all required documentation and reporting.</w:t>
            </w:r>
          </w:p>
          <w:p w:rsidR="00000000" w:rsidRPr="00DA1BFC" w:rsidP="00DA1BFC">
            <w:pPr>
              <w:pStyle w:val="BodyText"/>
            </w:pPr>
            <w:r w:rsidRPr="00DA1BFC">
              <w:t>The unit covers above-ground and below-ground fuel storage tanks and applies to work at sites which store and dispense diesel and motor spirit (petrol), including ethanol blends.</w:t>
            </w:r>
          </w:p>
          <w:p w:rsidR="00000000" w:rsidRPr="00DA1BFC" w:rsidP="00DA1BFC">
            <w:pPr>
              <w:pStyle w:val="BodyText"/>
            </w:pPr>
            <w:r w:rsidRPr="00DA1BFC">
              <w:t>This</w:t>
            </w:r>
            <w:r w:rsidRPr="00DA1BFC">
              <w:t xml:space="preserve"> unit excludes tank lining and systems used for aviation fuel; and bulk fuel systems on military bases, major hazard facilities and bulk transfer terminals.</w:t>
            </w:r>
          </w:p>
          <w:p w:rsidR="00000000" w:rsidRPr="00DA1BFC" w:rsidP="00DA1BFC">
            <w:pPr>
              <w:pStyle w:val="BodyText"/>
            </w:pPr>
            <w:r w:rsidRPr="00DA1BFC">
              <w:t xml:space="preserve">This unit is appropriate for supervisory personnel involved in the decommissioning of fuel storage </w:t>
            </w:r>
            <w:r w:rsidRPr="00DA1BFC">
              <w:t xml:space="preserve">and handling systems. </w:t>
            </w:r>
          </w:p>
          <w:p w:rsidR="00000000" w:rsidRPr="00DA1BFC" w:rsidP="00DA1BFC">
            <w:pPr>
              <w:pStyle w:val="BodyText"/>
            </w:pPr>
            <w:r w:rsidRPr="00DA1BFC">
              <w:t>Licensing, legislative or certification requirements that apply to this unit may vary between jurisdictions and should be checked prior to commencing the unit.</w:t>
            </w:r>
          </w:p>
        </w:tc>
      </w:tr>
    </w:tbl>
    <w:p w:rsidR="00000000" w:rsidRPr="00DA1BFC" w:rsidP="00DA1BFC">
      <w:pPr>
        <w:pStyle w:val="NoPaddingFontSize1"/>
      </w:pPr>
    </w:p>
    <w:p w:rsidR="00000000" w:rsidRPr="00DA1BFC" w:rsidP="00DA1BFC">
      <w:pPr>
        <w:pStyle w:val="AllowPageBreak"/>
      </w:pPr>
    </w:p>
    <w:p w:rsidR="00000000" w:rsidRPr="00DA1BFC" w:rsidP="00DA1BFC">
      <w:pPr>
        <w:pStyle w:val="Heading1"/>
      </w:pPr>
      <w:bookmarkStart w:id="3" w:name="O_1121440"/>
      <w:bookmarkEnd w:id="3"/>
      <w:r w:rsidRPr="00DA1BF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t>Not applicable</w:t>
            </w:r>
          </w:p>
        </w:tc>
      </w:tr>
    </w:tbl>
    <w:p w:rsidR="00000000" w:rsidRPr="00DA1BFC" w:rsidP="00DA1BFC">
      <w:pPr>
        <w:pStyle w:val="NoPaddingFontSize1"/>
      </w:pPr>
    </w:p>
    <w:p w:rsidR="00000000" w:rsidRPr="00DA1BFC" w:rsidP="00DA1BFC">
      <w:pPr>
        <w:pStyle w:val="AllowPageBreak"/>
      </w:pPr>
    </w:p>
    <w:p w:rsidR="00000000" w:rsidRPr="00DA1BFC" w:rsidP="00DA1BFC">
      <w:pPr>
        <w:pStyle w:val="Heading1"/>
      </w:pPr>
      <w:bookmarkStart w:id="4" w:name="O_1121441"/>
      <w:bookmarkEnd w:id="4"/>
      <w:r w:rsidRPr="00DA1BF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t>Not applicable</w:t>
            </w:r>
          </w:p>
        </w:tc>
      </w:tr>
    </w:tbl>
    <w:p w:rsidR="00000000" w:rsidRPr="00DA1BFC" w:rsidP="00DA1BFC">
      <w:pPr>
        <w:pStyle w:val="NoPaddingFontSize1"/>
      </w:pPr>
    </w:p>
    <w:p w:rsidR="00000000" w:rsidRPr="00DA1BFC" w:rsidP="00DA1BFC">
      <w:pPr>
        <w:pStyle w:val="AllowPageBreak"/>
      </w:pPr>
    </w:p>
    <w:p w:rsidR="00000000" w:rsidRPr="00DA1BFC" w:rsidP="00DA1BFC">
      <w:pPr>
        <w:pStyle w:val="Heading1"/>
      </w:pPr>
      <w:bookmarkStart w:id="5" w:name="O_1121442"/>
      <w:bookmarkEnd w:id="5"/>
      <w:r w:rsidRPr="00DA1BF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t>Not applicable</w:t>
            </w:r>
          </w:p>
        </w:tc>
      </w:tr>
    </w:tbl>
    <w:p w:rsidR="00000000" w:rsidRPr="00DA1BFC" w:rsidP="00DA1BFC">
      <w:pPr>
        <w:pStyle w:val="NoPaddingFontSize1"/>
      </w:pPr>
    </w:p>
    <w:p w:rsidR="00000000" w:rsidRPr="00DA1BFC" w:rsidP="00DA1BFC">
      <w:pPr>
        <w:pStyle w:val="AllowPageBreak"/>
      </w:pPr>
    </w:p>
    <w:p w:rsidR="00000000" w:rsidRPr="00DA1BFC" w:rsidP="00DA1BFC">
      <w:pPr>
        <w:pStyle w:val="Heading1"/>
      </w:pPr>
      <w:bookmarkStart w:id="6" w:name="O_1121443"/>
      <w:bookmarkEnd w:id="6"/>
      <w:r w:rsidRPr="00DA1BF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PERFORMANCE CRITERIA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Performance criteria describe the performance needed to demonstrate achievement of the element.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rPr>
                <w:rStyle w:val="SpecialBold"/>
              </w:rPr>
              <w:t xml:space="preserve">Plan to decommission fuel storage and dispensing </w:t>
            </w:r>
            <w:r w:rsidRPr="00DA1BFC">
              <w:rPr>
                <w:rStyle w:val="SpecialBold"/>
              </w:rPr>
              <w:t>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 xml:space="preserve">Fuel system design, drawings and specifications are read </w:t>
            </w:r>
            <w:r w:rsidRPr="00DA1BFC">
              <w:t>and interpreted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Site conditions</w:t>
            </w:r>
            <w:r w:rsidRPr="00DA1BFC">
              <w:t xml:space="preserve"> are determined, evaluated and accommodated in work plan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Existing site services are identified and accommodated in work plan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Tools, equipment and personnel required to complete work are determined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Authorisations,</w:t>
            </w:r>
            <w:r w:rsidRPr="00DA1BFC">
              <w:t xml:space="preserve"> licences or permits required for work are identified and obtained by relevant personnel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Workplace documentation, site-specific requirements, industry standards and regulatory requirements are accessed and interpreted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Workplan is developed to</w:t>
            </w:r>
            <w:r w:rsidRPr="00DA1BFC">
              <w:t xml:space="preserve"> ensure work is completed in correct sequence and in compliance with requirements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Safe work method statements (SWMS) are developed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Tools, equipment and personal protective equipment (PPE) required for work plan are identified and arranged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1.10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Human resource requirements are identified, and competency checked against requirements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rPr>
                <w:rStyle w:val="SpecialBold"/>
              </w:rPr>
              <w:t>Prepare to decommission fuel storage and dispensing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Site inductions are completed in accordance with workplace requirements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Risk assessments are completed, and controls and monitoring processes implement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Site personnel are briefed, and understanding of Emergency Response Plan (ERP), hazards, protection of existing site services, site works and operational requirements co</w:t>
            </w:r>
            <w:r w:rsidRPr="00DA1BFC">
              <w:t>nfirmed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Work area is barricaded to prevent unauthorised access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Site signage, isolation and lock-out/tag-out requirements are implemented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Materials, tools and equipment required are obtained and checked against requirements for correct operation and safety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Work is coordinated effectively with others on the worksite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SWMS for all work are reviewed with all site personnel and appl</w:t>
            </w:r>
            <w:r w:rsidRPr="00DA1BFC">
              <w:t>ied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rPr>
                <w:rStyle w:val="SpecialBold"/>
              </w:rPr>
              <w:t>Decommission fuel storage and dispensing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Decommissioning plan is interpreted and applied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Fuel system is isolated, fuel lines are fully drained and tank emptied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Excavations and backfilling are completed by appropriately skilled personnel in accordance with project specifications and site conditions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 xml:space="preserve">Fuel tanks are gas-freed and prepared for transport and disposal of any fuel storage tanks in accordance with </w:t>
            </w:r>
            <w:r w:rsidRPr="00DA1BFC">
              <w:t>industry standards and regulatory requirements or arrangements made to transport tank hot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Site is remediated in accordance with workplan, specifications and relevant regulation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Required site testing is completed to ensure it meets industry st</w:t>
            </w:r>
            <w:r w:rsidRPr="00DA1BFC">
              <w:t>andards and regulatory requirements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 xml:space="preserve">Any additional work required in response to test results is completed 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rPr>
                <w:rStyle w:val="SpecialBold"/>
              </w:rPr>
              <w:t>Complete work and reporting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Work completion is undertaken in accordance with workplan, SWMS and specifications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Site housekeeping is completed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 xml:space="preserve">Performance is recorded and reported 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>Compliance documentation and reporting is completed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t xml:space="preserve">Site handover to relevant person/s is completed in accordance with workplace procedures </w:t>
            </w:r>
          </w:p>
        </w:tc>
      </w:tr>
      <w:tr w:rsidTr="00DA1BF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BFC">
            <w:pPr>
              <w:pStyle w:val="BodyText"/>
              <w:rPr>
                <w:lang w:val="en-NZ"/>
              </w:rPr>
            </w:pPr>
            <w:r w:rsidRPr="00DA1BFC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t>Authorities are advised of work completion in accordance with regulatory requirements</w:t>
            </w:r>
          </w:p>
        </w:tc>
      </w:tr>
    </w:tbl>
    <w:p w:rsidR="00000000" w:rsidRPr="00DA1BFC" w:rsidP="00DA1BFC">
      <w:pPr>
        <w:pStyle w:val="NoPaddingFontSize1"/>
      </w:pPr>
    </w:p>
    <w:p w:rsidR="00000000" w:rsidRPr="00DA1BFC" w:rsidP="00DA1BFC">
      <w:pPr>
        <w:pStyle w:val="AllowPageBreak"/>
      </w:pPr>
    </w:p>
    <w:p w:rsidR="00000000" w:rsidRPr="00DA1BFC" w:rsidP="00DA1BFC">
      <w:pPr>
        <w:pStyle w:val="Heading1"/>
      </w:pPr>
      <w:bookmarkStart w:id="7" w:name="O_1121444"/>
      <w:bookmarkEnd w:id="7"/>
      <w:r w:rsidRPr="00DA1BF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t>Foundation skills essential to performance are explicit in the performance criteria of this unit of competency.</w:t>
            </w:r>
          </w:p>
        </w:tc>
      </w:tr>
    </w:tbl>
    <w:p w:rsidR="00000000" w:rsidRPr="00DA1BFC" w:rsidP="00DA1BFC">
      <w:pPr>
        <w:pStyle w:val="NoPaddingFontSize1"/>
      </w:pPr>
    </w:p>
    <w:p w:rsidR="00000000" w:rsidRPr="00DA1BFC" w:rsidP="00DA1BFC">
      <w:pPr>
        <w:pStyle w:val="AllowPageBreak"/>
      </w:pPr>
    </w:p>
    <w:p w:rsidR="00000000" w:rsidRPr="00DA1BFC" w:rsidP="00DA1BFC">
      <w:pPr>
        <w:pStyle w:val="Heading1"/>
      </w:pPr>
      <w:bookmarkStart w:id="8" w:name="O_1121445"/>
      <w:bookmarkEnd w:id="8"/>
      <w:r w:rsidRPr="00DA1BF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t>Range is restricted to essential operating conditions and any other variables essential to the work environment.</w:t>
            </w:r>
          </w:p>
          <w:p w:rsidR="00000000" w:rsidRPr="00DA1BFC" w:rsidP="00DA1BFC">
            <w:pPr>
              <w:pStyle w:val="BodyText"/>
            </w:pPr>
            <w:r w:rsidRPr="00DA1BFC">
              <w:t>Non-essential conditions may be found in the TLI Transport and Logistics Training Package Companion Volume Impleme</w:t>
            </w:r>
            <w:r w:rsidRPr="00DA1BFC">
              <w:t>ntation Guide.</w:t>
            </w:r>
          </w:p>
          <w:p w:rsidR="00000000" w:rsidRPr="00DA1BFC" w:rsidP="00DA1BFC">
            <w:pPr>
              <w:pStyle w:val="BodyText"/>
            </w:pPr>
            <w:r w:rsidRPr="00DA1BFC">
              <w:t>This unit must be demonstrated related to work at a site:</w:t>
            </w:r>
          </w:p>
          <w:p w:rsidR="00000000" w:rsidRPr="00DA1BFC" w:rsidP="00DA1BFC">
            <w:pPr>
              <w:pStyle w:val="ListBullet"/>
            </w:pPr>
            <w:r w:rsidRPr="00DA1BFC">
              <w:t>with either above-ground or below-ground fuel storage tanks</w:t>
            </w:r>
          </w:p>
          <w:p w:rsidR="00000000" w:rsidRPr="00DA1BFC" w:rsidP="00DA1BFC">
            <w:pPr>
              <w:pStyle w:val="ListBullet"/>
            </w:pPr>
            <w:r w:rsidRPr="00DA1BFC">
              <w:t>which stores and dispenses diesel and motor spirit (petrol), including ethanol blends.</w:t>
            </w:r>
          </w:p>
          <w:p w:rsidR="00000000" w:rsidRPr="00DA1BFC" w:rsidP="00DA1BFC">
            <w:pPr>
              <w:pStyle w:val="BodyText"/>
            </w:pPr>
            <w:r w:rsidRPr="00DA1BFC">
              <w:t>This unit excludes:</w:t>
            </w:r>
          </w:p>
          <w:p w:rsidR="00000000" w:rsidRPr="00DA1BFC" w:rsidP="00DA1BFC">
            <w:pPr>
              <w:pStyle w:val="ListBullet"/>
            </w:pPr>
            <w:r w:rsidRPr="00DA1BFC">
              <w:t>tank lining</w:t>
            </w:r>
          </w:p>
          <w:p w:rsidR="00000000" w:rsidRPr="00DA1BFC" w:rsidP="00DA1BFC">
            <w:pPr>
              <w:pStyle w:val="ListBullet"/>
            </w:pPr>
            <w:r w:rsidRPr="00DA1BFC">
              <w:t>sy</w:t>
            </w:r>
            <w:r w:rsidRPr="00DA1BFC">
              <w:t>stems used for aviation fuel</w:t>
            </w:r>
          </w:p>
          <w:p w:rsidR="00000000" w:rsidRPr="00DA1BFC" w:rsidP="00DA1BFC">
            <w:pPr>
              <w:pStyle w:val="ListBullet"/>
            </w:pPr>
            <w:r w:rsidRPr="00DA1BFC">
              <w:t>bulk fuel systems on military bases</w:t>
            </w:r>
          </w:p>
          <w:p w:rsidR="00000000" w:rsidRPr="00DA1BFC" w:rsidP="00DA1BFC">
            <w:pPr>
              <w:pStyle w:val="ListBullet"/>
            </w:pPr>
            <w:r w:rsidRPr="00DA1BFC">
              <w:t>major hazard facilities</w:t>
            </w:r>
          </w:p>
          <w:p w:rsidR="00000000" w:rsidRPr="00DA1BFC" w:rsidP="00DA1BFC">
            <w:pPr>
              <w:pStyle w:val="ListBullet"/>
            </w:pPr>
            <w:r w:rsidRPr="00DA1BFC">
              <w:t>bulk transfer terminals</w:t>
            </w:r>
          </w:p>
        </w:tc>
      </w:tr>
    </w:tbl>
    <w:p w:rsidR="00000000" w:rsidRPr="00DA1BFC" w:rsidP="00DA1BFC">
      <w:pPr>
        <w:pStyle w:val="NoPaddingFontSize1"/>
      </w:pPr>
    </w:p>
    <w:p w:rsidR="00000000" w:rsidRPr="00DA1BFC" w:rsidP="00DA1BFC">
      <w:pPr>
        <w:pStyle w:val="AllowPageBreak"/>
      </w:pPr>
    </w:p>
    <w:p w:rsidR="00000000" w:rsidRPr="00DA1BFC" w:rsidP="00DA1BFC">
      <w:pPr>
        <w:pStyle w:val="Heading1"/>
      </w:pPr>
      <w:bookmarkStart w:id="9" w:name="O_1121446"/>
      <w:bookmarkEnd w:id="9"/>
      <w:r w:rsidRPr="00DA1BF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1BF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BFC" w:rsidP="00DA1BFC">
            <w:pPr>
              <w:pStyle w:val="BodyText"/>
            </w:pPr>
            <w:r w:rsidRPr="00DA1BFC">
              <w:t>This is a new unit. No equivalent unit.</w:t>
            </w:r>
          </w:p>
        </w:tc>
      </w:tr>
    </w:tbl>
    <w:p w:rsidR="00000000" w:rsidRPr="00DA1BFC" w:rsidP="00DA1BFC">
      <w:pPr>
        <w:pStyle w:val="NoPaddingFontSize1"/>
      </w:pPr>
    </w:p>
    <w:p w:rsidR="00000000" w:rsidRPr="00DA1BFC" w:rsidP="00DA1BFC">
      <w:pPr>
        <w:pStyle w:val="AllowPageBreak"/>
      </w:pPr>
    </w:p>
    <w:p w:rsidR="00000000" w:rsidRPr="00DA1BFC" w:rsidP="00DA1BFC">
      <w:pPr>
        <w:pStyle w:val="Heading1"/>
      </w:pPr>
      <w:bookmarkStart w:id="10" w:name="O_1121453"/>
      <w:bookmarkEnd w:id="10"/>
      <w:r w:rsidRPr="00DA1BFC">
        <w:t>Links</w:t>
      </w:r>
    </w:p>
    <w:p w:rsidR="00000000" w:rsidRPr="00DA1BFC" w:rsidP="00F0721C">
      <w:pPr>
        <w:pStyle w:val="BodyText"/>
      </w:pPr>
      <w:r w:rsidRPr="00DA1B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07D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A1BFC" w:rsidP="00DA1BFC"/>
    <w:sectPr w:rsidSect="00DA1B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FC" w:rsidRPr="00F0721C" w:rsidP="00F07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1C" w:rsidP="00DA1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721C" w:rsidP="00DA1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0721C" w:rsidP="00DA1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BFC" w:rsidRPr="00F0721C" w:rsidP="00F072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1C" w:rsidRPr="002D2AF8" w:rsidP="00DA1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TLIX0022 Decommission fuel storage and dispensing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0721C" w:rsidP="00DA1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0A2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BC28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BFC"/>
  </w:style>
  <w:style w:type="character" w:customStyle="1" w:styleId="Heading1Char">
    <w:name w:val="Heading 1 Char"/>
    <w:basedOn w:val="DefaultParagraphFont"/>
    <w:link w:val="Heading1"/>
    <w:rsid w:val="00DA1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B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BFC"/>
    <w:rPr>
      <w:b/>
      <w:spacing w:val="0"/>
    </w:rPr>
  </w:style>
  <w:style w:type="paragraph" w:customStyle="1" w:styleId="SuperHeading">
    <w:name w:val="SuperHeading"/>
    <w:basedOn w:val="Normal"/>
    <w:rsid w:val="00DA1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1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B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BFC"/>
    <w:rPr>
      <w:i/>
    </w:rPr>
  </w:style>
  <w:style w:type="paragraph" w:styleId="Caption">
    <w:name w:val="caption"/>
    <w:basedOn w:val="BodyText"/>
    <w:next w:val="Normal"/>
    <w:qFormat/>
    <w:rsid w:val="00DA1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BFC"/>
  </w:style>
  <w:style w:type="paragraph" w:styleId="TableofFigures">
    <w:name w:val="table of figures"/>
    <w:basedOn w:val="Normal"/>
    <w:next w:val="Normal"/>
    <w:semiHidden/>
    <w:rsid w:val="00DA1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B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BFC"/>
    <w:rPr>
      <w:rFonts w:ascii="Wingdings" w:hAnsi="Wingdings"/>
    </w:rPr>
  </w:style>
  <w:style w:type="paragraph" w:customStyle="1" w:styleId="TableHeading">
    <w:name w:val="Table Heading"/>
    <w:basedOn w:val="HeadingBase"/>
    <w:rsid w:val="00DA1B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BFC"/>
    <w:rPr>
      <w:color w:val="0033CC"/>
      <w:u w:val="none"/>
    </w:rPr>
  </w:style>
  <w:style w:type="paragraph" w:customStyle="1" w:styleId="BodyTextRight">
    <w:name w:val="Body Text Right"/>
    <w:basedOn w:val="BodyText"/>
    <w:rsid w:val="00DA1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B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BFC"/>
    <w:rPr>
      <w:sz w:val="32"/>
    </w:rPr>
  </w:style>
  <w:style w:type="paragraph" w:customStyle="1" w:styleId="HeadingProcedure">
    <w:name w:val="Heading Procedure"/>
    <w:basedOn w:val="HeadingBase"/>
    <w:next w:val="Normal"/>
    <w:rsid w:val="00DA1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BFC"/>
    <w:pPr>
      <w:spacing w:before="60" w:after="60"/>
    </w:pPr>
  </w:style>
  <w:style w:type="paragraph" w:styleId="ListContinue">
    <w:name w:val="List Continue"/>
    <w:basedOn w:val="List"/>
    <w:rsid w:val="00DA1BFC"/>
    <w:pPr>
      <w:ind w:firstLine="0"/>
    </w:pPr>
  </w:style>
  <w:style w:type="paragraph" w:customStyle="1" w:styleId="ListNote">
    <w:name w:val="List Note"/>
    <w:basedOn w:val="List"/>
    <w:rsid w:val="00DA1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BFC"/>
    <w:rPr>
      <w:rFonts w:ascii="Courier New" w:hAnsi="Courier New"/>
    </w:rPr>
  </w:style>
  <w:style w:type="paragraph" w:customStyle="1" w:styleId="NoteBullet">
    <w:name w:val="Note Bullet"/>
    <w:basedOn w:val="Note"/>
    <w:rsid w:val="00DA1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B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BFC"/>
    <w:rPr>
      <w:b/>
      <w:smallCaps/>
    </w:rPr>
  </w:style>
  <w:style w:type="paragraph" w:customStyle="1" w:styleId="TableListNumber">
    <w:name w:val="Table List Number"/>
    <w:basedOn w:val="ListNumber"/>
    <w:rsid w:val="00DA1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BFC"/>
    <w:pPr>
      <w:numPr>
        <w:numId w:val="8"/>
      </w:numPr>
    </w:pPr>
  </w:style>
  <w:style w:type="paragraph" w:customStyle="1" w:styleId="ListAlpha2">
    <w:name w:val="List Alpha 2"/>
    <w:basedOn w:val="List2"/>
    <w:rsid w:val="00DA1BFC"/>
    <w:pPr>
      <w:numPr>
        <w:numId w:val="7"/>
      </w:numPr>
    </w:pPr>
  </w:style>
  <w:style w:type="paragraph" w:styleId="List2">
    <w:name w:val="List 2"/>
    <w:basedOn w:val="BodyText"/>
    <w:rsid w:val="00DA1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B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B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BFC"/>
    <w:pPr>
      <w:numPr>
        <w:numId w:val="3"/>
      </w:numPr>
    </w:pPr>
  </w:style>
  <w:style w:type="paragraph" w:styleId="ListContinue2">
    <w:name w:val="List Continue 2"/>
    <w:basedOn w:val="List2"/>
    <w:rsid w:val="00DA1BFC"/>
    <w:pPr>
      <w:ind w:firstLine="0"/>
    </w:pPr>
  </w:style>
  <w:style w:type="paragraph" w:styleId="ListContinue3">
    <w:name w:val="List Continue 3"/>
    <w:basedOn w:val="List3"/>
    <w:rsid w:val="00DA1BFC"/>
    <w:pPr>
      <w:ind w:left="1021" w:firstLine="0"/>
    </w:pPr>
  </w:style>
  <w:style w:type="paragraph" w:styleId="ListContinue4">
    <w:name w:val="List Continue 4"/>
    <w:basedOn w:val="List4"/>
    <w:rsid w:val="00DA1BFC"/>
    <w:pPr>
      <w:ind w:firstLine="0"/>
    </w:pPr>
  </w:style>
  <w:style w:type="paragraph" w:styleId="ListContinue5">
    <w:name w:val="List Continue 5"/>
    <w:basedOn w:val="List5"/>
    <w:rsid w:val="00DA1BFC"/>
    <w:pPr>
      <w:ind w:firstLine="0"/>
    </w:pPr>
  </w:style>
  <w:style w:type="paragraph" w:styleId="ListNumber3">
    <w:name w:val="List Number 3"/>
    <w:basedOn w:val="List3"/>
    <w:rsid w:val="00DA1BFC"/>
    <w:pPr>
      <w:numPr>
        <w:numId w:val="4"/>
      </w:numPr>
    </w:pPr>
  </w:style>
  <w:style w:type="paragraph" w:styleId="ListNumber4">
    <w:name w:val="List Number 4"/>
    <w:basedOn w:val="List4"/>
    <w:rsid w:val="00DA1BFC"/>
    <w:pPr>
      <w:numPr>
        <w:numId w:val="5"/>
      </w:numPr>
    </w:pPr>
  </w:style>
  <w:style w:type="paragraph" w:styleId="ListNumber5">
    <w:name w:val="List Number 5"/>
    <w:basedOn w:val="List5"/>
    <w:rsid w:val="00DA1BFC"/>
    <w:pPr>
      <w:numPr>
        <w:numId w:val="6"/>
      </w:numPr>
    </w:pPr>
  </w:style>
  <w:style w:type="paragraph" w:styleId="BlockText">
    <w:name w:val="Block Text"/>
    <w:basedOn w:val="Normal"/>
    <w:rsid w:val="00DA1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BFC"/>
    <w:rPr>
      <w:sz w:val="16"/>
      <w:vertAlign w:val="superscript"/>
    </w:rPr>
  </w:style>
  <w:style w:type="character" w:customStyle="1" w:styleId="Symbols">
    <w:name w:val="Symbols"/>
    <w:basedOn w:val="DefaultParagraphFont"/>
    <w:rsid w:val="00DA1BFC"/>
    <w:rPr>
      <w:rFonts w:ascii="Symbol" w:hAnsi="Symbol"/>
    </w:rPr>
  </w:style>
  <w:style w:type="character" w:customStyle="1" w:styleId="MenuOptions">
    <w:name w:val="Menu Options"/>
    <w:basedOn w:val="DefaultParagraphFont"/>
    <w:rsid w:val="00DA1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BFC"/>
    <w:rPr>
      <w:b/>
    </w:rPr>
  </w:style>
  <w:style w:type="character" w:customStyle="1" w:styleId="Underlined">
    <w:name w:val="Underlined"/>
    <w:basedOn w:val="DefaultParagraphFont"/>
    <w:rsid w:val="00DA1BFC"/>
    <w:rPr>
      <w:u w:val="single"/>
    </w:rPr>
  </w:style>
  <w:style w:type="paragraph" w:customStyle="1" w:styleId="TableBodyTextRight">
    <w:name w:val="Table Body Text Right"/>
    <w:basedOn w:val="TableBodyText"/>
    <w:rsid w:val="00DA1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BFC"/>
    <w:rPr>
      <w:sz w:val="18"/>
    </w:rPr>
  </w:style>
  <w:style w:type="paragraph" w:customStyle="1" w:styleId="BodySmallRight">
    <w:name w:val="Body Small Right"/>
    <w:basedOn w:val="BodyTextRight"/>
    <w:rsid w:val="00DA1BFC"/>
    <w:rPr>
      <w:sz w:val="18"/>
      <w:szCs w:val="18"/>
    </w:rPr>
  </w:style>
  <w:style w:type="paragraph" w:customStyle="1" w:styleId="MarginEdition">
    <w:name w:val="Margin Edition"/>
    <w:basedOn w:val="MarginNote"/>
    <w:rsid w:val="00DA1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BFC"/>
    <w:rPr>
      <w:sz w:val="2"/>
      <w:szCs w:val="2"/>
    </w:rPr>
  </w:style>
  <w:style w:type="character" w:customStyle="1" w:styleId="Small">
    <w:name w:val="Small"/>
    <w:basedOn w:val="DefaultParagraphFont"/>
    <w:rsid w:val="00DA1BFC"/>
    <w:rPr>
      <w:sz w:val="16"/>
    </w:rPr>
  </w:style>
  <w:style w:type="paragraph" w:customStyle="1" w:styleId="WideTable">
    <w:name w:val="Wide Table"/>
    <w:basedOn w:val="Normal"/>
    <w:rsid w:val="00DA1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BFC"/>
  </w:style>
  <w:style w:type="paragraph" w:styleId="Quote">
    <w:name w:val="Quote"/>
    <w:basedOn w:val="Heading1"/>
    <w:link w:val="QuoteChar"/>
    <w:qFormat/>
    <w:rsid w:val="00DA1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BFC"/>
    <w:pPr>
      <w:pageBreakBefore/>
    </w:pPr>
  </w:style>
  <w:style w:type="paragraph" w:customStyle="1" w:styleId="Border">
    <w:name w:val="Border"/>
    <w:basedOn w:val="Normal"/>
    <w:qFormat/>
    <w:rsid w:val="00DA1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BFC"/>
    <w:rPr>
      <w:u w:val="single"/>
    </w:rPr>
  </w:style>
  <w:style w:type="character" w:customStyle="1" w:styleId="BoldandItalics">
    <w:name w:val="Bold and Italics"/>
    <w:qFormat/>
    <w:rsid w:val="00DA1BFC"/>
    <w:rPr>
      <w:b/>
      <w:i/>
      <w:u w:val="none"/>
    </w:rPr>
  </w:style>
  <w:style w:type="paragraph" w:styleId="BalloonText">
    <w:name w:val="Balloon Text"/>
    <w:basedOn w:val="Normal"/>
    <w:link w:val="BalloonTextChar"/>
    <w:rsid w:val="00DA1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BFC"/>
    <w:pPr>
      <w:spacing w:before="0" w:after="0"/>
    </w:pPr>
  </w:style>
  <w:style w:type="paragraph" w:customStyle="1" w:styleId="BodyTextBold">
    <w:name w:val="Body Text Bold"/>
    <w:basedOn w:val="BodyText"/>
    <w:qFormat/>
    <w:rsid w:val="00DA1BFC"/>
    <w:rPr>
      <w:b/>
    </w:rPr>
  </w:style>
  <w:style w:type="character" w:styleId="Hyperlink">
    <w:name w:val="Hyperlink"/>
    <w:basedOn w:val="DefaultParagraphFont"/>
    <w:uiPriority w:val="99"/>
    <w:unhideWhenUsed/>
    <w:rsid w:val="00F072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4799</Characters>
  <Application>Microsoft Office Word</Application>
  <DocSecurity>0</DocSecurity>
  <Lines>252</Lines>
  <Paragraphs>132</Paragraphs>
  <ScaleCrop>false</ScaleCrop>
  <Company>Author-it Software Corporation Ltd.</Company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TLIX0022 Decommission fuel storage and dispensing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