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C9F" w:rsidP="00D95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TLIX0021X Work with global supply chains</w:t>
      </w:r>
      <w:r>
        <w:fldChar w:fldCharType="end"/>
      </w:r>
    </w:p>
    <w:p w:rsidR="00D95C9F" w:rsidP="00D95C9F">
      <w:pPr>
        <w:pStyle w:val="Version"/>
        <w:sectPr w:rsidSect="00D04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D73" w:rsidP="00D04D73">
      <w:pPr>
        <w:pStyle w:val="SuperHeading"/>
      </w:pPr>
      <w:r w:rsidRPr="00D04D73">
        <w:t>Assessment Requirements for TLIX0021X Work with global supply chains</w:t>
      </w:r>
    </w:p>
    <w:p w:rsidR="00000000" w:rsidRPr="00D04D73" w:rsidP="00D04D73">
      <w:pPr>
        <w:pStyle w:val="Heading1"/>
      </w:pPr>
      <w:bookmarkStart w:id="1" w:name="O_1066491"/>
      <w:bookmarkEnd w:id="1"/>
      <w:r w:rsidRPr="00D04D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D73" w:rsidP="00D04D73">
            <w:pPr>
              <w:pStyle w:val="BodyText"/>
            </w:pPr>
            <w:r w:rsidRPr="00D04D73">
              <w:rPr>
                <w:rStyle w:val="SpecialBold"/>
              </w:rPr>
              <w:t xml:space="preserve">Release 1. </w:t>
            </w:r>
            <w:r w:rsidRPr="00D04D73">
              <w:t>This is the first release of this unit of competency in the TLI Transport and Logistics Training Package.</w:t>
            </w:r>
          </w:p>
        </w:tc>
      </w:tr>
    </w:tbl>
    <w:p w:rsidR="00D95C9F" w:rsidP="00D04D73">
      <w:pPr>
        <w:pStyle w:val="NoPaddingFontSize1"/>
      </w:pPr>
    </w:p>
    <w:p w:rsidR="00D95C9F" w:rsidP="00D04D73">
      <w:pPr>
        <w:pStyle w:val="NoPaddingFontSize1"/>
      </w:pPr>
    </w:p>
    <w:p w:rsidR="00000000" w:rsidRPr="00D04D73" w:rsidP="00D04D73">
      <w:pPr>
        <w:pStyle w:val="Heading1"/>
      </w:pPr>
      <w:bookmarkStart w:id="2" w:name="O_1066492"/>
      <w:bookmarkEnd w:id="2"/>
      <w:r w:rsidRPr="00D04D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D73">
            <w:pPr>
              <w:pStyle w:val="BodyText"/>
              <w:rPr>
                <w:lang w:val="en-NZ"/>
              </w:rPr>
            </w:pPr>
            <w:r w:rsidRPr="00D04D73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D04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D73" w:rsidP="00D04D73">
            <w:pPr>
              <w:pStyle w:val="ListBullet"/>
            </w:pPr>
            <w:r w:rsidRPr="00D04D73">
              <w:t>collating and analysing data and information</w:t>
            </w:r>
            <w:r w:rsidRPr="00D04D73">
              <w:t xml:space="preserve"> from digital systems and applications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communicating with supply chain stakeholders on: </w:t>
            </w:r>
          </w:p>
          <w:p w:rsidR="00000000" w:rsidRPr="00D04D73" w:rsidP="00D04D73">
            <w:pPr>
              <w:pStyle w:val="ListBullet3"/>
            </w:pPr>
            <w:r w:rsidRPr="00D04D73">
              <w:t>corrective actions for non-compliance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policies and procedures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processes in the global supply chain 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quality standards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conducting negotiations and resolving disputes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confirming: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digital systems and applications used to track progress and outcomes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transportation, shipping and warehousing services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value added by suppliers </w:t>
            </w:r>
          </w:p>
          <w:p w:rsidR="00000000" w:rsidRPr="00D04D73" w:rsidP="00D04D73">
            <w:pPr>
              <w:pStyle w:val="ListBullet"/>
            </w:pPr>
            <w:r w:rsidRPr="00D04D73">
              <w:t>determining Australian and international legis</w:t>
            </w:r>
            <w:r w:rsidRPr="00D04D73">
              <w:t xml:space="preserve">lative obligations 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disseminating recommendations to improve global supply chain systems and operations  </w:t>
            </w:r>
          </w:p>
          <w:p w:rsidR="00000000" w:rsidRPr="00D04D73" w:rsidP="00D04D73">
            <w:pPr>
              <w:pStyle w:val="ListBullet"/>
            </w:pPr>
            <w:r w:rsidRPr="00D04D73">
              <w:t>evaluating outcomes of compliance monitoring and feedback from stakeholders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fostering commercial relationships using approved methods and tools </w:t>
            </w:r>
          </w:p>
          <w:p w:rsidR="00000000" w:rsidRPr="00D04D73" w:rsidP="00D04D73">
            <w:pPr>
              <w:pStyle w:val="ListBullet"/>
            </w:pPr>
            <w:r w:rsidRPr="00D04D73">
              <w:t>iden</w:t>
            </w:r>
            <w:r w:rsidRPr="00D04D73">
              <w:t>tifying products, services, markets and stakeholders in the global supply chain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identifying supply chain policies and procedures 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investigating non-compliance actions to determine cause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monitoring: 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adherence to import and export regulations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compliance to contractual requirements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delivery timeframes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digital system and application use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inventory flow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production specifications and processes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quality control standards for products and services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supply chain risks </w:t>
            </w:r>
          </w:p>
          <w:p w:rsidR="00000000" w:rsidRPr="00D04D73" w:rsidP="00D04D73">
            <w:pPr>
              <w:pStyle w:val="ListBullet3"/>
            </w:pPr>
            <w:r w:rsidRPr="00D04D73">
              <w:t>transportation, warehousing a</w:t>
            </w:r>
            <w:r w:rsidRPr="00D04D73">
              <w:t xml:space="preserve">nd distribution centres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obtaining feedback from stakeholders on issues of concern and production practices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preparing reports on production efficiency, processes and practices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reviewing contracts, specifications and supplier performance and relationship history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verifying level of authority to perform in the global supply chain. </w:t>
            </w:r>
          </w:p>
        </w:tc>
      </w:tr>
    </w:tbl>
    <w:p w:rsidR="00D95C9F" w:rsidP="00D04D73">
      <w:pPr>
        <w:pStyle w:val="NoPaddingFontSize1"/>
      </w:pPr>
    </w:p>
    <w:p w:rsidR="00D95C9F" w:rsidP="00D04D73">
      <w:pPr>
        <w:pStyle w:val="NoPaddingFontSize1"/>
      </w:pPr>
    </w:p>
    <w:p w:rsidR="00000000" w:rsidRPr="00D04D73" w:rsidP="00D04D73">
      <w:pPr>
        <w:pStyle w:val="Heading1"/>
      </w:pPr>
      <w:bookmarkStart w:id="3" w:name="O_1066493"/>
      <w:bookmarkEnd w:id="3"/>
      <w:r w:rsidRPr="00D04D7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D73">
            <w:pPr>
              <w:pStyle w:val="BodyText"/>
              <w:rPr>
                <w:lang w:val="en-NZ"/>
              </w:rPr>
            </w:pPr>
            <w:r w:rsidRPr="00D04D73">
              <w:t>Evidence required to demonstrate competence in this unit mu</w:t>
            </w:r>
            <w:r w:rsidRPr="00D04D73">
              <w:t>st be relevant to and satisfy all the requirements of the elements and performance criteria and includes knowledge of</w:t>
            </w:r>
          </w:p>
        </w:tc>
      </w:tr>
      <w:tr w:rsidTr="00D04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D73" w:rsidP="00D04D73">
            <w:pPr>
              <w:pStyle w:val="ListBullet"/>
            </w:pPr>
            <w:r w:rsidRPr="00D04D73">
              <w:t>Australian and international legislative obligations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communication channels and tools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compliance systems and corrective non-compliance </w:t>
            </w:r>
            <w:r w:rsidRPr="00D04D73">
              <w:t xml:space="preserve">actions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contractual requirements including: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amounts and types of products to be delivered </w:t>
            </w:r>
          </w:p>
          <w:p w:rsidR="00000000" w:rsidRPr="00D04D73" w:rsidP="00D04D73">
            <w:pPr>
              <w:pStyle w:val="ListBullet3"/>
            </w:pPr>
            <w:r w:rsidRPr="00D04D73">
              <w:t>details and procedures for outsourcing</w:t>
            </w:r>
          </w:p>
          <w:p w:rsidR="00000000" w:rsidRPr="00D04D73" w:rsidP="00D04D73">
            <w:pPr>
              <w:pStyle w:val="ListBullet3"/>
            </w:pPr>
            <w:r w:rsidRPr="00D04D73">
              <w:t>dispute resolution mechanisms</w:t>
            </w:r>
          </w:p>
          <w:p w:rsidR="00000000" w:rsidRPr="00D04D73" w:rsidP="00D04D73">
            <w:pPr>
              <w:pStyle w:val="ListBullet3"/>
            </w:pPr>
            <w:r w:rsidRPr="00D04D73">
              <w:t>duties and tarrifs payable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methods of pricing and payment terms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quality of products to be supplied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regulatory compliance </w:t>
            </w:r>
          </w:p>
          <w:p w:rsidR="00000000" w:rsidRPr="00D04D73" w:rsidP="00D04D73">
            <w:pPr>
              <w:pStyle w:val="ListBullet3"/>
            </w:pPr>
            <w:r w:rsidRPr="00D04D73">
              <w:t>specifications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transportation details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variations to costs </w:t>
            </w:r>
          </w:p>
          <w:p w:rsidR="00000000" w:rsidRPr="00D04D73" w:rsidP="00D04D73">
            <w:pPr>
              <w:pStyle w:val="ListBullet"/>
            </w:pPr>
            <w:r w:rsidRPr="00D04D73">
              <w:t>digital systems and applications used in global supply chains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global markets including product sourcing and production processes </w:t>
            </w:r>
          </w:p>
          <w:p w:rsidR="00000000" w:rsidRPr="00D04D73" w:rsidP="00D04D73">
            <w:pPr>
              <w:pStyle w:val="ListBullet"/>
            </w:pPr>
            <w:r w:rsidRPr="00D04D73">
              <w:t>import</w:t>
            </w:r>
            <w:r w:rsidRPr="00D04D73">
              <w:t xml:space="preserve"> and export regulations 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inventory flow in global supply chains </w:t>
            </w:r>
          </w:p>
          <w:p w:rsidR="00000000" w:rsidRPr="00D04D73" w:rsidP="00D04D73">
            <w:pPr>
              <w:pStyle w:val="ListBullet"/>
            </w:pPr>
            <w:r w:rsidRPr="00D04D73">
              <w:t>negotiation methods and dispute reolution strategies</w:t>
            </w:r>
          </w:p>
          <w:p w:rsidR="00000000" w:rsidRPr="00D04D73" w:rsidP="00D04D73">
            <w:pPr>
              <w:pStyle w:val="ListBullet"/>
            </w:pPr>
            <w:r w:rsidRPr="00D04D73">
              <w:t>quality control standards and processes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report requirements </w:t>
            </w:r>
          </w:p>
          <w:p w:rsidR="00000000" w:rsidRPr="00D04D73" w:rsidP="00D04D73">
            <w:pPr>
              <w:pStyle w:val="ListBullet"/>
            </w:pPr>
            <w:r w:rsidRPr="00D04D73">
              <w:t>supply chain policies and procedures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risks that impact suppliers including: 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changing technology </w:t>
            </w:r>
          </w:p>
          <w:p w:rsidR="00000000" w:rsidRPr="00D04D73" w:rsidP="00D04D73">
            <w:pPr>
              <w:pStyle w:val="ListBullet3"/>
            </w:pPr>
            <w:r w:rsidRPr="00D04D73">
              <w:t>delivery and distribution delays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environmental impacts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expertise </w:t>
            </w:r>
          </w:p>
          <w:p w:rsidR="00000000" w:rsidRPr="00D04D73" w:rsidP="00D04D73">
            <w:pPr>
              <w:pStyle w:val="ListBullet3"/>
            </w:pPr>
            <w:r w:rsidRPr="00D04D73">
              <w:t>governement policies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labour force activity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quality control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resource availability </w:t>
            </w:r>
          </w:p>
          <w:p w:rsidR="00000000" w:rsidRPr="00D04D73" w:rsidP="00D04D73">
            <w:pPr>
              <w:pStyle w:val="ListBullet3"/>
            </w:pPr>
            <w:r w:rsidRPr="00D04D73">
              <w:t xml:space="preserve">trade agreements </w:t>
            </w:r>
          </w:p>
          <w:p w:rsidR="00000000" w:rsidRPr="00D04D73" w:rsidP="00D04D73">
            <w:pPr>
              <w:pStyle w:val="ListBullet"/>
            </w:pPr>
            <w:r w:rsidRPr="00D04D73">
              <w:tab/>
            </w:r>
            <w:r w:rsidRPr="00D04D73">
              <w:t>transportation and distribution centres in global supply chains</w:t>
            </w:r>
          </w:p>
          <w:p w:rsidR="00000000" w:rsidRPr="00D04D73" w:rsidP="00D04D73">
            <w:pPr>
              <w:pStyle w:val="ListBullet"/>
            </w:pPr>
            <w:r w:rsidRPr="00D04D73">
              <w:t>types of contracts and commercial relationships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value adds in global supply chains. </w:t>
            </w:r>
          </w:p>
        </w:tc>
      </w:tr>
    </w:tbl>
    <w:p w:rsidR="00D95C9F" w:rsidP="00D04D73">
      <w:pPr>
        <w:pStyle w:val="NoPaddingFontSize1"/>
      </w:pPr>
    </w:p>
    <w:p w:rsidR="00D95C9F" w:rsidP="00D04D73">
      <w:pPr>
        <w:pStyle w:val="NoPaddingFontSize1"/>
      </w:pPr>
    </w:p>
    <w:p w:rsidR="00000000" w:rsidRPr="00D04D73" w:rsidP="00D04D73">
      <w:pPr>
        <w:pStyle w:val="Heading1"/>
      </w:pPr>
      <w:bookmarkStart w:id="4" w:name="O_1066494"/>
      <w:bookmarkEnd w:id="4"/>
      <w:r w:rsidRPr="00D04D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D73" w:rsidP="00D04D73">
            <w:pPr>
              <w:pStyle w:val="BodyText"/>
            </w:pPr>
            <w:r w:rsidRPr="00D04D73">
              <w:t xml:space="preserve">Assessors must hold credentials specified within the Standards for Registered Training Organisations current at the time of assessment. </w:t>
            </w:r>
          </w:p>
          <w:p w:rsidR="00000000" w:rsidRPr="00D04D73" w:rsidP="00D04D73">
            <w:pPr>
              <w:pStyle w:val="BodyText"/>
            </w:pPr>
            <w:r w:rsidRPr="00D04D73">
              <w:t>Assessment must satisfy the Principles of Assessment and Rules of Evidence and all regulatory requirements included wit</w:t>
            </w:r>
            <w:r w:rsidRPr="00D04D73">
              <w:t xml:space="preserve">hin the Standards for Registered Training Organisations current at the time of assessment. </w:t>
            </w:r>
          </w:p>
          <w:p w:rsidR="00000000" w:rsidRPr="00D04D73" w:rsidP="00D04D73">
            <w:pPr>
              <w:pStyle w:val="BodyText"/>
            </w:pPr>
            <w:r w:rsidRPr="00D04D73">
              <w:t>Assessment must occur in workplace operational situations, where it is appropriate to do so. Where this is not appropriate, assessment must occur in simulated workp</w:t>
            </w:r>
            <w:r w:rsidRPr="00D04D73">
              <w:t>lace operational situations that replicate workplace conditions.</w:t>
            </w:r>
          </w:p>
          <w:p w:rsidR="00000000" w:rsidRPr="00D04D73" w:rsidP="00D04D73">
            <w:pPr>
              <w:pStyle w:val="BodyText"/>
            </w:pPr>
            <w:r w:rsidRPr="00D04D7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04D73" w:rsidP="00D04D73">
            <w:pPr>
              <w:pStyle w:val="BodyText"/>
            </w:pPr>
            <w:r w:rsidRPr="00D04D73">
              <w:t>Resources for assessmen</w:t>
            </w:r>
            <w:r w:rsidRPr="00D04D73">
              <w:t xml:space="preserve">t must include access to a range of </w:t>
            </w:r>
          </w:p>
          <w:p w:rsidR="00000000" w:rsidRPr="00D04D73" w:rsidP="00D04D73">
            <w:pPr>
              <w:pStyle w:val="ListBullet"/>
            </w:pPr>
            <w:r w:rsidRPr="00D04D73">
              <w:t>exercises, case studies or other simulations</w:t>
            </w:r>
          </w:p>
          <w:p w:rsidR="00000000" w:rsidRPr="00D04D73" w:rsidP="00D04D73">
            <w:pPr>
              <w:pStyle w:val="ListBullet"/>
            </w:pPr>
            <w:r w:rsidRPr="00D04D73">
              <w:t xml:space="preserve">materials, tools and equipment used in industry </w:t>
            </w:r>
          </w:p>
          <w:p w:rsidR="00000000" w:rsidRPr="00D04D73" w:rsidP="00D04D73">
            <w:pPr>
              <w:pStyle w:val="ListBullet"/>
            </w:pPr>
            <w:r w:rsidRPr="00D04D73">
              <w:t>documentation including organisational policies and procedures, industry standards, regulations, codes of practice, operatio</w:t>
            </w:r>
            <w:r w:rsidRPr="00D04D73">
              <w:t>nal manuals and equipment specifications.</w:t>
            </w:r>
            <w:r w:rsidRPr="00D04D73">
              <w:tab/>
            </w:r>
          </w:p>
        </w:tc>
      </w:tr>
    </w:tbl>
    <w:p w:rsidR="00D95C9F" w:rsidP="00D04D73">
      <w:pPr>
        <w:pStyle w:val="NoPaddingFontSize1"/>
      </w:pPr>
    </w:p>
    <w:p w:rsidR="00D95C9F" w:rsidP="00D04D73">
      <w:pPr>
        <w:pStyle w:val="NoPaddingFontSize1"/>
      </w:pPr>
    </w:p>
    <w:p w:rsidR="00000000" w:rsidRPr="00D04D73" w:rsidP="00D04D73">
      <w:pPr>
        <w:pStyle w:val="Heading1"/>
      </w:pPr>
      <w:bookmarkStart w:id="5" w:name="O_1066497"/>
      <w:bookmarkEnd w:id="5"/>
      <w:r w:rsidRPr="00D04D73">
        <w:t>Links</w:t>
      </w:r>
    </w:p>
    <w:p w:rsidR="00000000" w:rsidRPr="00D04D73" w:rsidP="00D95C9F">
      <w:pPr>
        <w:pStyle w:val="BodyText"/>
      </w:pPr>
      <w:r w:rsidRPr="00D04D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E1D6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04D73" w:rsidP="00D04D73"/>
    <w:sectPr w:rsidSect="00D04D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73" w:rsidRPr="00D95C9F" w:rsidP="00D95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9F" w:rsidP="00D04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C9F" w:rsidP="00D04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95C9F" w:rsidP="00D04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D73" w:rsidRPr="00D95C9F" w:rsidP="00D95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9F" w:rsidRPr="002D2AF8" w:rsidP="00D04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TLIX0021X Work with global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95C9F" w:rsidP="00D04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DEA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68FA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D73"/>
  </w:style>
  <w:style w:type="character" w:customStyle="1" w:styleId="Heading1Char">
    <w:name w:val="Heading 1 Char"/>
    <w:basedOn w:val="DefaultParagraphFont"/>
    <w:link w:val="Heading1"/>
    <w:rsid w:val="00D04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D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D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D73"/>
    <w:rPr>
      <w:b/>
      <w:spacing w:val="0"/>
    </w:rPr>
  </w:style>
  <w:style w:type="paragraph" w:customStyle="1" w:styleId="SuperHeading">
    <w:name w:val="SuperHeading"/>
    <w:basedOn w:val="Normal"/>
    <w:rsid w:val="00D04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4D73"/>
    <w:pPr>
      <w:numPr>
        <w:numId w:val="2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4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D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D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D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D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D73"/>
    <w:rPr>
      <w:i/>
    </w:rPr>
  </w:style>
  <w:style w:type="paragraph" w:styleId="Caption">
    <w:name w:val="caption"/>
    <w:basedOn w:val="BodyText"/>
    <w:next w:val="Normal"/>
    <w:qFormat/>
    <w:rsid w:val="00D04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D73"/>
  </w:style>
  <w:style w:type="paragraph" w:styleId="TableofFigures">
    <w:name w:val="table of figures"/>
    <w:basedOn w:val="Normal"/>
    <w:next w:val="Normal"/>
    <w:semiHidden/>
    <w:rsid w:val="00D04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D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D73"/>
    <w:rPr>
      <w:rFonts w:ascii="Wingdings" w:hAnsi="Wingdings"/>
    </w:rPr>
  </w:style>
  <w:style w:type="paragraph" w:customStyle="1" w:styleId="TableHeading">
    <w:name w:val="Table Heading"/>
    <w:basedOn w:val="HeadingBase"/>
    <w:rsid w:val="00D04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D73"/>
    <w:rPr>
      <w:color w:val="0033CC"/>
      <w:u w:val="none"/>
    </w:rPr>
  </w:style>
  <w:style w:type="paragraph" w:customStyle="1" w:styleId="BodyTextRight">
    <w:name w:val="Body Text Right"/>
    <w:basedOn w:val="BodyText"/>
    <w:rsid w:val="00D04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D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D73"/>
    <w:rPr>
      <w:sz w:val="32"/>
    </w:rPr>
  </w:style>
  <w:style w:type="paragraph" w:customStyle="1" w:styleId="HeadingProcedure">
    <w:name w:val="Heading Procedure"/>
    <w:basedOn w:val="HeadingBase"/>
    <w:next w:val="Normal"/>
    <w:rsid w:val="00D04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D73"/>
    <w:pPr>
      <w:spacing w:before="60" w:after="60"/>
    </w:pPr>
  </w:style>
  <w:style w:type="paragraph" w:styleId="ListContinue">
    <w:name w:val="List Continue"/>
    <w:basedOn w:val="List"/>
    <w:rsid w:val="00D04D73"/>
    <w:pPr>
      <w:ind w:firstLine="0"/>
    </w:pPr>
  </w:style>
  <w:style w:type="paragraph" w:customStyle="1" w:styleId="ListNote">
    <w:name w:val="List Note"/>
    <w:basedOn w:val="List"/>
    <w:rsid w:val="00D04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D73"/>
    <w:rPr>
      <w:rFonts w:ascii="Courier New" w:hAnsi="Courier New"/>
    </w:rPr>
  </w:style>
  <w:style w:type="paragraph" w:customStyle="1" w:styleId="NoteBullet">
    <w:name w:val="Note Bullet"/>
    <w:basedOn w:val="Note"/>
    <w:rsid w:val="00D04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D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D73"/>
    <w:rPr>
      <w:b/>
      <w:smallCaps/>
    </w:rPr>
  </w:style>
  <w:style w:type="paragraph" w:customStyle="1" w:styleId="TableListNumber">
    <w:name w:val="Table List Number"/>
    <w:basedOn w:val="ListNumber"/>
    <w:rsid w:val="00D04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D73"/>
    <w:pPr>
      <w:numPr>
        <w:numId w:val="9"/>
      </w:numPr>
    </w:pPr>
  </w:style>
  <w:style w:type="paragraph" w:customStyle="1" w:styleId="ListAlpha2">
    <w:name w:val="List Alpha 2"/>
    <w:basedOn w:val="List2"/>
    <w:rsid w:val="00D04D73"/>
    <w:pPr>
      <w:numPr>
        <w:numId w:val="8"/>
      </w:numPr>
    </w:pPr>
  </w:style>
  <w:style w:type="paragraph" w:styleId="List2">
    <w:name w:val="List 2"/>
    <w:basedOn w:val="BodyText"/>
    <w:rsid w:val="00D04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D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4D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D73"/>
    <w:pPr>
      <w:numPr>
        <w:numId w:val="4"/>
      </w:numPr>
    </w:pPr>
  </w:style>
  <w:style w:type="paragraph" w:styleId="ListContinue2">
    <w:name w:val="List Continue 2"/>
    <w:basedOn w:val="List2"/>
    <w:rsid w:val="00D04D73"/>
    <w:pPr>
      <w:ind w:firstLine="0"/>
    </w:pPr>
  </w:style>
  <w:style w:type="paragraph" w:styleId="ListContinue3">
    <w:name w:val="List Continue 3"/>
    <w:basedOn w:val="List3"/>
    <w:rsid w:val="00D04D73"/>
    <w:pPr>
      <w:ind w:left="1021" w:firstLine="0"/>
    </w:pPr>
  </w:style>
  <w:style w:type="paragraph" w:styleId="ListContinue4">
    <w:name w:val="List Continue 4"/>
    <w:basedOn w:val="List4"/>
    <w:rsid w:val="00D04D73"/>
    <w:pPr>
      <w:ind w:firstLine="0"/>
    </w:pPr>
  </w:style>
  <w:style w:type="paragraph" w:styleId="ListContinue5">
    <w:name w:val="List Continue 5"/>
    <w:basedOn w:val="List5"/>
    <w:rsid w:val="00D04D73"/>
    <w:pPr>
      <w:ind w:firstLine="0"/>
    </w:pPr>
  </w:style>
  <w:style w:type="paragraph" w:styleId="ListNumber3">
    <w:name w:val="List Number 3"/>
    <w:basedOn w:val="List3"/>
    <w:rsid w:val="00D04D73"/>
    <w:pPr>
      <w:numPr>
        <w:numId w:val="5"/>
      </w:numPr>
    </w:pPr>
  </w:style>
  <w:style w:type="paragraph" w:styleId="ListNumber4">
    <w:name w:val="List Number 4"/>
    <w:basedOn w:val="List4"/>
    <w:rsid w:val="00D04D73"/>
    <w:pPr>
      <w:numPr>
        <w:numId w:val="6"/>
      </w:numPr>
    </w:pPr>
  </w:style>
  <w:style w:type="paragraph" w:styleId="ListNumber5">
    <w:name w:val="List Number 5"/>
    <w:basedOn w:val="List5"/>
    <w:rsid w:val="00D04D73"/>
    <w:pPr>
      <w:numPr>
        <w:numId w:val="7"/>
      </w:numPr>
    </w:pPr>
  </w:style>
  <w:style w:type="paragraph" w:styleId="BlockText">
    <w:name w:val="Block Text"/>
    <w:basedOn w:val="Normal"/>
    <w:rsid w:val="00D04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D73"/>
    <w:rPr>
      <w:sz w:val="16"/>
      <w:vertAlign w:val="superscript"/>
    </w:rPr>
  </w:style>
  <w:style w:type="character" w:customStyle="1" w:styleId="Symbols">
    <w:name w:val="Symbols"/>
    <w:basedOn w:val="DefaultParagraphFont"/>
    <w:rsid w:val="00D04D73"/>
    <w:rPr>
      <w:rFonts w:ascii="Symbol" w:hAnsi="Symbol"/>
    </w:rPr>
  </w:style>
  <w:style w:type="character" w:customStyle="1" w:styleId="MenuOptions">
    <w:name w:val="Menu Options"/>
    <w:basedOn w:val="DefaultParagraphFont"/>
    <w:rsid w:val="00D04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D73"/>
    <w:rPr>
      <w:b/>
    </w:rPr>
  </w:style>
  <w:style w:type="character" w:customStyle="1" w:styleId="Underlined">
    <w:name w:val="Underlined"/>
    <w:basedOn w:val="DefaultParagraphFont"/>
    <w:rsid w:val="00D04D73"/>
    <w:rPr>
      <w:u w:val="single"/>
    </w:rPr>
  </w:style>
  <w:style w:type="paragraph" w:customStyle="1" w:styleId="TableBodyTextRight">
    <w:name w:val="Table Body Text Right"/>
    <w:basedOn w:val="TableBodyText"/>
    <w:rsid w:val="00D04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D73"/>
    <w:rPr>
      <w:sz w:val="18"/>
    </w:rPr>
  </w:style>
  <w:style w:type="paragraph" w:customStyle="1" w:styleId="BodySmallRight">
    <w:name w:val="Body Small Right"/>
    <w:basedOn w:val="BodyTextRight"/>
    <w:rsid w:val="00D04D73"/>
    <w:rPr>
      <w:sz w:val="18"/>
      <w:szCs w:val="18"/>
    </w:rPr>
  </w:style>
  <w:style w:type="paragraph" w:customStyle="1" w:styleId="MarginEdition">
    <w:name w:val="Margin Edition"/>
    <w:basedOn w:val="MarginNote"/>
    <w:rsid w:val="00D04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D73"/>
    <w:rPr>
      <w:sz w:val="2"/>
      <w:szCs w:val="2"/>
    </w:rPr>
  </w:style>
  <w:style w:type="character" w:customStyle="1" w:styleId="Small">
    <w:name w:val="Small"/>
    <w:basedOn w:val="DefaultParagraphFont"/>
    <w:rsid w:val="00D04D73"/>
    <w:rPr>
      <w:sz w:val="16"/>
    </w:rPr>
  </w:style>
  <w:style w:type="paragraph" w:customStyle="1" w:styleId="WideTable">
    <w:name w:val="Wide Table"/>
    <w:basedOn w:val="Normal"/>
    <w:rsid w:val="00D04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D73"/>
  </w:style>
  <w:style w:type="paragraph" w:styleId="Quote">
    <w:name w:val="Quote"/>
    <w:basedOn w:val="Heading1"/>
    <w:link w:val="QuoteChar"/>
    <w:qFormat/>
    <w:rsid w:val="00D04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D73"/>
    <w:pPr>
      <w:pageBreakBefore/>
    </w:pPr>
  </w:style>
  <w:style w:type="paragraph" w:customStyle="1" w:styleId="Border">
    <w:name w:val="Border"/>
    <w:basedOn w:val="Normal"/>
    <w:qFormat/>
    <w:rsid w:val="00D04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D73"/>
    <w:rPr>
      <w:u w:val="single"/>
    </w:rPr>
  </w:style>
  <w:style w:type="character" w:customStyle="1" w:styleId="BoldandItalics">
    <w:name w:val="Bold and Italics"/>
    <w:qFormat/>
    <w:rsid w:val="00D04D73"/>
    <w:rPr>
      <w:b/>
      <w:i/>
      <w:u w:val="none"/>
    </w:rPr>
  </w:style>
  <w:style w:type="paragraph" w:styleId="BalloonText">
    <w:name w:val="Balloon Text"/>
    <w:basedOn w:val="Normal"/>
    <w:link w:val="BalloonTextChar"/>
    <w:rsid w:val="00D04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D73"/>
    <w:pPr>
      <w:spacing w:before="0" w:after="0"/>
    </w:pPr>
  </w:style>
  <w:style w:type="paragraph" w:customStyle="1" w:styleId="BodyTextBold">
    <w:name w:val="Body Text Bold"/>
    <w:basedOn w:val="BodyText"/>
    <w:qFormat/>
    <w:rsid w:val="00D04D73"/>
    <w:rPr>
      <w:b/>
    </w:rPr>
  </w:style>
  <w:style w:type="character" w:styleId="Hyperlink">
    <w:name w:val="Hyperlink"/>
    <w:basedOn w:val="DefaultParagraphFont"/>
    <w:uiPriority w:val="99"/>
    <w:unhideWhenUsed/>
    <w:rsid w:val="00D95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4314</Characters>
  <Application>Microsoft Office Word</Application>
  <DocSecurity>0</DocSecurity>
  <Lines>113</Lines>
  <Paragraphs>102</Paragraphs>
  <ScaleCrop>false</ScaleCrop>
  <Company>Author-it Software Corporation Ltd.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TLIX0021X Work with global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