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A96" w:rsidP="002F4A96">
      <w:pPr>
        <w:pStyle w:val="Title"/>
      </w:pPr>
      <w:r>
        <w:fldChar w:fldCharType="begin"/>
      </w:r>
      <w:r>
        <w:instrText xml:space="preserve"> TITLE   \* MERGEFORMAT </w:instrText>
      </w:r>
      <w:r>
        <w:fldChar w:fldCharType="separate"/>
      </w:r>
      <w:r>
        <w:t>TLIX0020X Monitor ethical supply chain practices</w:t>
      </w:r>
      <w:r>
        <w:fldChar w:fldCharType="end"/>
      </w:r>
    </w:p>
    <w:p w:rsidR="002F4A96" w:rsidP="002F4A96">
      <w:pPr>
        <w:pStyle w:val="Version"/>
        <w:sectPr w:rsidSect="000174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7425" w:rsidP="00017425">
      <w:pPr>
        <w:pStyle w:val="SuperHeading"/>
      </w:pPr>
      <w:r w:rsidRPr="00017425">
        <w:t>TLIX0020X Monitor ethical supply chain practices</w:t>
      </w:r>
    </w:p>
    <w:p w:rsidR="00000000" w:rsidRPr="00017425" w:rsidP="00017425">
      <w:pPr>
        <w:pStyle w:val="Heading1"/>
      </w:pPr>
      <w:bookmarkStart w:id="1" w:name="O_1066462"/>
      <w:bookmarkEnd w:id="1"/>
      <w:r w:rsidRPr="00017425">
        <w:t>Modification History</w:t>
      </w:r>
    </w:p>
    <w:tbl>
      <w:tblPr>
        <w:tblW w:w="9497" w:type="dxa"/>
        <w:tblLayout w:type="fixed"/>
        <w:tblCellMar>
          <w:left w:w="62" w:type="dxa"/>
          <w:right w:w="62" w:type="dxa"/>
        </w:tblCellMar>
        <w:tblLook w:val="0000"/>
      </w:tblPr>
      <w:tblGrid>
        <w:gridCol w:w="9497"/>
      </w:tblGrid>
      <w:tr w:rsidTr="00017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7425" w:rsidP="00017425">
            <w:pPr>
              <w:pStyle w:val="BodyText"/>
            </w:pPr>
            <w:r w:rsidRPr="00017425">
              <w:rPr>
                <w:rStyle w:val="SpecialBold"/>
              </w:rPr>
              <w:t>Release 1.</w:t>
            </w:r>
            <w:r w:rsidRPr="00017425">
              <w:t xml:space="preserve"> This is the first release of this unit of competency in the TLI Transport and Logistics Training Package.</w:t>
            </w:r>
          </w:p>
        </w:tc>
      </w:tr>
    </w:tbl>
    <w:p w:rsidR="00000000" w:rsidRPr="00017425" w:rsidP="00017425">
      <w:pPr>
        <w:pStyle w:val="NoPaddingFontSize1"/>
      </w:pPr>
    </w:p>
    <w:p w:rsidR="00000000" w:rsidRPr="00017425" w:rsidP="00017425">
      <w:pPr>
        <w:pStyle w:val="AllowPageBreak"/>
      </w:pPr>
    </w:p>
    <w:p w:rsidR="00000000" w:rsidRPr="00017425" w:rsidP="00017425">
      <w:pPr>
        <w:pStyle w:val="Heading1"/>
      </w:pPr>
      <w:bookmarkStart w:id="2" w:name="O_1066463"/>
      <w:bookmarkEnd w:id="2"/>
      <w:r w:rsidRPr="00017425">
        <w:t>Application</w:t>
      </w:r>
    </w:p>
    <w:tbl>
      <w:tblPr>
        <w:tblW w:w="9497" w:type="dxa"/>
        <w:tblLayout w:type="fixed"/>
        <w:tblCellMar>
          <w:left w:w="62" w:type="dxa"/>
          <w:right w:w="62" w:type="dxa"/>
        </w:tblCellMar>
        <w:tblLook w:val="0000"/>
      </w:tblPr>
      <w:tblGrid>
        <w:gridCol w:w="9497"/>
      </w:tblGrid>
      <w:tr w:rsidTr="00017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7425" w:rsidP="00017425">
            <w:pPr>
              <w:pStyle w:val="BodyText"/>
            </w:pPr>
            <w:r w:rsidRPr="00017425">
              <w:t>This unit of competency describes the skills and knowledge required to monit</w:t>
            </w:r>
            <w:r w:rsidRPr="00017425">
              <w:t>or ethical practices in supply chains. It includes determining ethical supply chain functions, monitoring ethical practices and reporting on ethical supply chain practices.</w:t>
            </w:r>
          </w:p>
          <w:p w:rsidR="00000000" w:rsidRPr="00017425" w:rsidP="00017425">
            <w:pPr>
              <w:pStyle w:val="BodyText"/>
            </w:pPr>
            <w:r w:rsidRPr="00017425">
              <w:t>Ethical supply chains seek to ensure that sustainable labour, supply and environmen</w:t>
            </w:r>
            <w:r w:rsidRPr="00017425">
              <w:t>tal practices are fair. Participating in an ethical supply chain will involve conducting due diligence to confirm the integrity of suppliers, contractors, agents and other intermediaries. Unethical supply chains typically do not comply with legislative obl</w:t>
            </w:r>
            <w:r w:rsidRPr="00017425">
              <w:t>igations, codes of practice or agreed industry standards.</w:t>
            </w:r>
          </w:p>
          <w:p w:rsidR="00000000" w:rsidRPr="00017425" w:rsidP="00017425">
            <w:pPr>
              <w:pStyle w:val="BodyText"/>
            </w:pPr>
            <w:r w:rsidRPr="00017425">
              <w:t>The unit is applicable to those with management or team leadership responsibilities within a supply chain.</w:t>
            </w:r>
          </w:p>
          <w:p w:rsidR="00000000" w:rsidRPr="00017425" w:rsidP="00017425">
            <w:pPr>
              <w:pStyle w:val="BodyText"/>
            </w:pPr>
            <w:r w:rsidRPr="00017425">
              <w:t>No licensing, legislative or certification requirements apply to this unit at the time of p</w:t>
            </w:r>
            <w:r w:rsidRPr="00017425">
              <w:t>ublication.</w:t>
            </w:r>
          </w:p>
        </w:tc>
      </w:tr>
    </w:tbl>
    <w:p w:rsidR="00000000" w:rsidRPr="00017425" w:rsidP="00017425">
      <w:pPr>
        <w:pStyle w:val="NoPaddingFontSize1"/>
      </w:pPr>
    </w:p>
    <w:p w:rsidR="00000000" w:rsidRPr="00017425" w:rsidP="00017425">
      <w:pPr>
        <w:pStyle w:val="AllowPageBreak"/>
      </w:pPr>
    </w:p>
    <w:p w:rsidR="00000000" w:rsidRPr="00017425" w:rsidP="00017425">
      <w:pPr>
        <w:pStyle w:val="Heading1"/>
      </w:pPr>
      <w:bookmarkStart w:id="3" w:name="O_1066464"/>
      <w:bookmarkEnd w:id="3"/>
      <w:r w:rsidRPr="00017425">
        <w:t>Pre-requisite Unit</w:t>
      </w:r>
    </w:p>
    <w:tbl>
      <w:tblPr>
        <w:tblW w:w="9497" w:type="dxa"/>
        <w:tblLayout w:type="fixed"/>
        <w:tblCellMar>
          <w:left w:w="62" w:type="dxa"/>
          <w:right w:w="62" w:type="dxa"/>
        </w:tblCellMar>
        <w:tblLook w:val="0000"/>
      </w:tblPr>
      <w:tblGrid>
        <w:gridCol w:w="9497"/>
      </w:tblGrid>
      <w:tr w:rsidTr="00017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7425" w:rsidP="00017425">
            <w:pPr>
              <w:pStyle w:val="BodyText"/>
            </w:pPr>
            <w:r w:rsidRPr="00017425">
              <w:t>Not applicable</w:t>
            </w:r>
          </w:p>
        </w:tc>
      </w:tr>
    </w:tbl>
    <w:p w:rsidR="00000000" w:rsidRPr="00017425" w:rsidP="00017425">
      <w:pPr>
        <w:pStyle w:val="NoPaddingFontSize1"/>
      </w:pPr>
    </w:p>
    <w:p w:rsidR="00000000" w:rsidRPr="00017425" w:rsidP="00017425">
      <w:pPr>
        <w:pStyle w:val="AllowPageBreak"/>
      </w:pPr>
    </w:p>
    <w:p w:rsidR="00000000" w:rsidRPr="00017425" w:rsidP="00017425">
      <w:pPr>
        <w:pStyle w:val="Heading1"/>
      </w:pPr>
      <w:bookmarkStart w:id="4" w:name="O_1066465"/>
      <w:bookmarkEnd w:id="4"/>
      <w:r w:rsidRPr="00017425">
        <w:t>Competency Field</w:t>
      </w:r>
    </w:p>
    <w:tbl>
      <w:tblPr>
        <w:tblW w:w="9497" w:type="dxa"/>
        <w:tblLayout w:type="fixed"/>
        <w:tblCellMar>
          <w:left w:w="62" w:type="dxa"/>
          <w:right w:w="62" w:type="dxa"/>
        </w:tblCellMar>
        <w:tblLook w:val="0000"/>
      </w:tblPr>
      <w:tblGrid>
        <w:gridCol w:w="9497"/>
      </w:tblGrid>
      <w:tr w:rsidTr="00017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7425" w:rsidP="00017425">
            <w:pPr>
              <w:pStyle w:val="BodyText"/>
            </w:pPr>
            <w:r w:rsidRPr="00017425">
              <w:t>X - Logistics</w:t>
            </w:r>
          </w:p>
        </w:tc>
      </w:tr>
    </w:tbl>
    <w:p w:rsidR="002F4A96" w:rsidP="00017425">
      <w:pPr>
        <w:pStyle w:val="NoPaddingFontSize1"/>
      </w:pPr>
    </w:p>
    <w:p w:rsidR="002F4A96" w:rsidP="00017425">
      <w:pPr>
        <w:pStyle w:val="NoPaddingFontSize1"/>
      </w:pPr>
    </w:p>
    <w:p w:rsidR="00000000" w:rsidRPr="00017425" w:rsidP="00017425">
      <w:pPr>
        <w:pStyle w:val="Heading1"/>
      </w:pPr>
      <w:bookmarkStart w:id="5" w:name="O_1066466"/>
      <w:bookmarkEnd w:id="5"/>
      <w:r w:rsidRPr="00017425">
        <w:t>Unit Sector</w:t>
      </w:r>
    </w:p>
    <w:tbl>
      <w:tblPr>
        <w:tblW w:w="9497" w:type="dxa"/>
        <w:tblLayout w:type="fixed"/>
        <w:tblCellMar>
          <w:left w:w="62" w:type="dxa"/>
          <w:right w:w="62" w:type="dxa"/>
        </w:tblCellMar>
        <w:tblLook w:val="0000"/>
      </w:tblPr>
      <w:tblGrid>
        <w:gridCol w:w="9497"/>
      </w:tblGrid>
      <w:tr w:rsidTr="00017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7425" w:rsidP="00017425">
            <w:pPr>
              <w:pStyle w:val="BodyText"/>
            </w:pPr>
            <w:r w:rsidRPr="00017425">
              <w:t>Cross Sector</w:t>
            </w:r>
          </w:p>
        </w:tc>
      </w:tr>
    </w:tbl>
    <w:p w:rsidR="002F4A96" w:rsidP="00017425">
      <w:pPr>
        <w:pStyle w:val="NoPaddingFontSize1"/>
      </w:pPr>
    </w:p>
    <w:p w:rsidR="002F4A96" w:rsidP="00017425">
      <w:pPr>
        <w:pStyle w:val="NoPaddingFontSize1"/>
      </w:pPr>
    </w:p>
    <w:p w:rsidR="00000000" w:rsidRPr="00017425" w:rsidP="00017425">
      <w:pPr>
        <w:pStyle w:val="Heading1"/>
      </w:pPr>
      <w:bookmarkStart w:id="6" w:name="O_1066467"/>
      <w:bookmarkEnd w:id="6"/>
      <w:r w:rsidRPr="00017425">
        <w:t>Elements and Performance Criteria</w:t>
      </w:r>
    </w:p>
    <w:tbl>
      <w:tblPr>
        <w:tblW w:w="0" w:type="auto"/>
        <w:tblLayout w:type="fixed"/>
        <w:tblCellMar>
          <w:left w:w="62" w:type="dxa"/>
          <w:right w:w="62" w:type="dxa"/>
        </w:tblCellMar>
        <w:tblLook w:val="0000"/>
      </w:tblPr>
      <w:tblGrid>
        <w:gridCol w:w="403"/>
        <w:gridCol w:w="2839"/>
        <w:gridCol w:w="639"/>
        <w:gridCol w:w="5258"/>
      </w:tblGrid>
      <w:tr w:rsidTr="00017425">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RPr="00017425" w:rsidP="00017425">
            <w:pPr>
              <w:pStyle w:val="BodyText"/>
            </w:pPr>
            <w:r w:rsidRPr="00017425">
              <w:rPr>
                <w:rStyle w:val="SpecialBold"/>
              </w:rPr>
              <w:t>ELEMENTS</w:t>
            </w:r>
          </w:p>
        </w:tc>
        <w:tc>
          <w:tcPr>
            <w:tcW w:w="5897" w:type="dxa"/>
            <w:gridSpan w:val="2"/>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rPr>
                <w:rStyle w:val="SpecialBold"/>
              </w:rPr>
              <w:t>PERFORMANCE CRITERIA</w:t>
            </w:r>
          </w:p>
        </w:tc>
      </w:tr>
      <w:tr w:rsidTr="00017425">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t>Elements describe the essential outcomes.</w:t>
            </w:r>
          </w:p>
        </w:tc>
        <w:tc>
          <w:tcPr>
            <w:tcW w:w="5897" w:type="dxa"/>
            <w:gridSpan w:val="2"/>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t>Performance criteria describe the performance needed to demonstrate achievement of the element.</w:t>
            </w:r>
          </w:p>
        </w:tc>
      </w:tr>
      <w:tr w:rsidTr="000174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17425" w:rsidP="00017425">
            <w:pPr>
              <w:pStyle w:val="BodyText"/>
            </w:pPr>
            <w:r w:rsidRPr="00017425">
              <w:rPr>
                <w:rStyle w:val="SpecialBold"/>
              </w:rPr>
              <w:t>1</w:t>
            </w:r>
          </w:p>
        </w:tc>
        <w:tc>
          <w:tcPr>
            <w:tcW w:w="2839" w:type="dxa"/>
            <w:tcBorders>
              <w:top w:val="nil"/>
              <w:left w:val="nil"/>
              <w:bottom w:val="nil"/>
              <w:right w:val="nil"/>
            </w:tcBorders>
            <w:tcMar>
              <w:top w:w="0" w:type="dxa"/>
              <w:left w:w="62" w:type="dxa"/>
              <w:bottom w:w="0" w:type="dxa"/>
              <w:right w:w="62" w:type="dxa"/>
            </w:tcMar>
          </w:tcPr>
          <w:p w:rsidR="00000000" w:rsidRPr="00017425" w:rsidP="00017425">
            <w:pPr>
              <w:pStyle w:val="BodyText"/>
            </w:pPr>
            <w:r w:rsidRPr="00017425">
              <w:rPr>
                <w:rStyle w:val="SpecialBold"/>
              </w:rPr>
              <w:t>Determine</w:t>
            </w:r>
            <w:r w:rsidRPr="00017425">
              <w:t xml:space="preserve"> </w:t>
            </w:r>
            <w:r w:rsidRPr="00017425">
              <w:rPr>
                <w:rStyle w:val="SpecialBold"/>
              </w:rPr>
              <w:t xml:space="preserve">ethical </w:t>
            </w:r>
            <w:r w:rsidRPr="00017425">
              <w:rPr>
                <w:rStyle w:val="SpecialBold"/>
              </w:rPr>
              <w:t xml:space="preserve">practices </w:t>
            </w:r>
          </w:p>
        </w:tc>
        <w:tc>
          <w:tcPr>
            <w:tcW w:w="639"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rPr>
                <w:rStyle w:val="SpecialBold"/>
              </w:rPr>
              <w:t>1.1</w:t>
            </w:r>
          </w:p>
        </w:tc>
        <w:tc>
          <w:tcPr>
            <w:tcW w:w="5258"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t xml:space="preserve">Requirements of supply chain legislation, regulations </w:t>
            </w:r>
            <w:r w:rsidRPr="00017425">
              <w:t>and industry standards are confirmed</w:t>
            </w:r>
          </w:p>
        </w:tc>
      </w:tr>
      <w:tr w:rsidTr="000174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017425">
            <w:pPr>
              <w:pStyle w:val="BodyText"/>
              <w:keepLines w:val="0"/>
            </w:pPr>
          </w:p>
        </w:tc>
        <w:tc>
          <w:tcPr>
            <w:tcW w:w="639"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rPr>
                <w:rStyle w:val="SpecialBold"/>
              </w:rPr>
              <w:t>1.2</w:t>
            </w:r>
          </w:p>
        </w:tc>
        <w:tc>
          <w:tcPr>
            <w:tcW w:w="5258"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t>Welfare and sustainability practices for each stage of the supply chain are identified and mapped</w:t>
            </w:r>
          </w:p>
        </w:tc>
      </w:tr>
      <w:tr w:rsidTr="000174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017425">
            <w:pPr>
              <w:pStyle w:val="BodyText"/>
              <w:keepLines w:val="0"/>
            </w:pPr>
          </w:p>
        </w:tc>
        <w:tc>
          <w:tcPr>
            <w:tcW w:w="639"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rPr>
                <w:rStyle w:val="SpecialBold"/>
              </w:rPr>
              <w:t>1.3</w:t>
            </w:r>
          </w:p>
        </w:tc>
        <w:tc>
          <w:tcPr>
            <w:tcW w:w="5258"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t xml:space="preserve">Policies and procedures to support ethical practices in the supply chain are confirmed </w:t>
            </w:r>
          </w:p>
        </w:tc>
      </w:tr>
      <w:tr w:rsidTr="000174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017425">
            <w:pPr>
              <w:pStyle w:val="BodyText"/>
              <w:keepLines w:val="0"/>
            </w:pPr>
          </w:p>
        </w:tc>
        <w:tc>
          <w:tcPr>
            <w:tcW w:w="639"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rPr>
                <w:rStyle w:val="SpecialBold"/>
              </w:rPr>
              <w:t>1.4</w:t>
            </w:r>
          </w:p>
        </w:tc>
        <w:tc>
          <w:tcPr>
            <w:tcW w:w="5258"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t xml:space="preserve">Key Performance Indicators (KPIs) for ethical practices are verified </w:t>
            </w:r>
          </w:p>
        </w:tc>
      </w:tr>
      <w:tr w:rsidTr="000174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017425">
            <w:pPr>
              <w:pStyle w:val="BodyText"/>
              <w:keepLines w:val="0"/>
            </w:pPr>
          </w:p>
        </w:tc>
        <w:tc>
          <w:tcPr>
            <w:tcW w:w="639"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rPr>
                <w:rStyle w:val="SpecialBold"/>
              </w:rPr>
              <w:t>1.5</w:t>
            </w:r>
          </w:p>
        </w:tc>
        <w:tc>
          <w:tcPr>
            <w:tcW w:w="5258"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t>Community expectations throughout the supply chain, in relation to ethical practices</w:t>
            </w:r>
            <w:r w:rsidRPr="00017425">
              <w:t>, are determined</w:t>
            </w:r>
          </w:p>
        </w:tc>
      </w:tr>
      <w:tr w:rsidTr="000174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017425">
            <w:pPr>
              <w:pStyle w:val="BodyText"/>
              <w:keepLines w:val="0"/>
            </w:pPr>
          </w:p>
        </w:tc>
        <w:tc>
          <w:tcPr>
            <w:tcW w:w="639"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rPr>
                <w:rStyle w:val="SpecialBold"/>
              </w:rPr>
              <w:t>1.6</w:t>
            </w:r>
          </w:p>
        </w:tc>
        <w:tc>
          <w:tcPr>
            <w:tcW w:w="5258"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t>Responsibility and level of authority for monitoring ethical practice in the supply chain is confirmed</w:t>
            </w:r>
          </w:p>
        </w:tc>
      </w:tr>
      <w:tr w:rsidTr="000174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17425" w:rsidP="00017425">
            <w:pPr>
              <w:pStyle w:val="BodyText"/>
            </w:pPr>
            <w:r w:rsidRPr="00017425">
              <w:rPr>
                <w:rStyle w:val="SpecialBold"/>
              </w:rPr>
              <w:t>2</w:t>
            </w:r>
          </w:p>
        </w:tc>
        <w:tc>
          <w:tcPr>
            <w:tcW w:w="2839" w:type="dxa"/>
            <w:tcBorders>
              <w:top w:val="nil"/>
              <w:left w:val="nil"/>
              <w:bottom w:val="nil"/>
              <w:right w:val="nil"/>
            </w:tcBorders>
            <w:tcMar>
              <w:top w:w="0" w:type="dxa"/>
              <w:left w:w="62" w:type="dxa"/>
              <w:bottom w:w="0" w:type="dxa"/>
              <w:right w:w="62" w:type="dxa"/>
            </w:tcMar>
          </w:tcPr>
          <w:p w:rsidR="00000000" w:rsidRPr="00017425" w:rsidP="00017425">
            <w:pPr>
              <w:pStyle w:val="BodyText"/>
            </w:pPr>
            <w:r w:rsidRPr="00017425">
              <w:rPr>
                <w:rStyle w:val="SpecialBold"/>
              </w:rPr>
              <w:t>Monitor ethical practices</w:t>
            </w:r>
            <w:r w:rsidRPr="00017425">
              <w:t xml:space="preserve"> </w:t>
            </w:r>
          </w:p>
        </w:tc>
        <w:tc>
          <w:tcPr>
            <w:tcW w:w="639"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rPr>
                <w:rStyle w:val="SpecialBold"/>
              </w:rPr>
              <w:t>2.1</w:t>
            </w:r>
          </w:p>
        </w:tc>
        <w:tc>
          <w:tcPr>
            <w:tcW w:w="5258"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t xml:space="preserve">Integrity of supply chain stakeholders </w:t>
            </w:r>
            <w:r w:rsidRPr="00017425">
              <w:t xml:space="preserve">is monitored, in accordance with supply chain procedures, using approved methods and tools </w:t>
            </w:r>
          </w:p>
        </w:tc>
      </w:tr>
      <w:tr w:rsidTr="000174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017425">
            <w:pPr>
              <w:pStyle w:val="BodyText"/>
              <w:keepLines w:val="0"/>
            </w:pPr>
          </w:p>
        </w:tc>
        <w:tc>
          <w:tcPr>
            <w:tcW w:w="639"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rPr>
                <w:rStyle w:val="SpecialBold"/>
              </w:rPr>
              <w:t>2.2</w:t>
            </w:r>
          </w:p>
        </w:tc>
        <w:tc>
          <w:tcPr>
            <w:tcW w:w="5258"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t xml:space="preserve">Product provenance is monitored to ensure ethical relationships and practices are maintained throughout the supply chain </w:t>
            </w:r>
          </w:p>
        </w:tc>
      </w:tr>
      <w:tr w:rsidTr="000174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017425">
            <w:pPr>
              <w:pStyle w:val="BodyText"/>
              <w:keepLines w:val="0"/>
            </w:pPr>
          </w:p>
        </w:tc>
        <w:tc>
          <w:tcPr>
            <w:tcW w:w="639" w:type="dxa"/>
            <w:tcBorders>
              <w:top w:val="nil"/>
              <w:left w:val="nil"/>
              <w:bottom w:val="nil"/>
              <w:right w:val="nil"/>
            </w:tcBorders>
            <w:tcMar>
              <w:top w:w="0" w:type="dxa"/>
              <w:left w:w="62" w:type="dxa"/>
              <w:bottom w:w="0" w:type="dxa"/>
              <w:right w:w="62" w:type="dxa"/>
            </w:tcMar>
          </w:tcPr>
          <w:p w:rsidR="00000000" w:rsidRPr="00017425" w:rsidP="00017425">
            <w:pPr>
              <w:pStyle w:val="BodyText"/>
            </w:pPr>
            <w:r w:rsidRPr="00017425">
              <w:rPr>
                <w:rStyle w:val="SpecialBold"/>
              </w:rPr>
              <w:t>2.3</w:t>
            </w:r>
          </w:p>
          <w:p w:rsidR="00000000">
            <w:pPr>
              <w:pStyle w:val="BodyText"/>
              <w:keepLines w:val="0"/>
              <w:rPr>
                <w:rFonts w:ascii="Tahoma" w:hAnsi="Tahoma"/>
                <w:sz w:val="20"/>
                <w:lang w:val="en-NZ"/>
              </w:rPr>
            </w:pPr>
          </w:p>
        </w:tc>
        <w:tc>
          <w:tcPr>
            <w:tcW w:w="5258"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t>Stakeholder compliance to l</w:t>
            </w:r>
            <w:r w:rsidRPr="00017425">
              <w:t>egislative obligations and codes of practice is monitored, in accordance with supply chain procedures</w:t>
            </w:r>
          </w:p>
        </w:tc>
      </w:tr>
      <w:tr w:rsidTr="000174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017425">
            <w:pPr>
              <w:pStyle w:val="BodyText"/>
              <w:keepLines w:val="0"/>
            </w:pPr>
          </w:p>
        </w:tc>
        <w:tc>
          <w:tcPr>
            <w:tcW w:w="639"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rPr>
                <w:rStyle w:val="SpecialBold"/>
              </w:rPr>
              <w:t>2.4</w:t>
            </w:r>
          </w:p>
        </w:tc>
        <w:tc>
          <w:tcPr>
            <w:tcW w:w="5258"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t xml:space="preserve">Reports of unethical supply chain practices, including those from anonymous whistle blowers, are assessed and actioned, in accordance with supply </w:t>
            </w:r>
            <w:r w:rsidRPr="00017425">
              <w:t>chain procedures</w:t>
            </w:r>
          </w:p>
        </w:tc>
      </w:tr>
      <w:tr w:rsidTr="000174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017425">
            <w:pPr>
              <w:pStyle w:val="BodyText"/>
              <w:keepLines w:val="0"/>
            </w:pPr>
          </w:p>
        </w:tc>
        <w:tc>
          <w:tcPr>
            <w:tcW w:w="639"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rPr>
                <w:rStyle w:val="SpecialBold"/>
              </w:rPr>
              <w:t>2.5</w:t>
            </w:r>
          </w:p>
        </w:tc>
        <w:tc>
          <w:tcPr>
            <w:tcW w:w="5258"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t>Corrective actions for unethical practices are documented and monitored, in accordance with supply chain procedures</w:t>
            </w:r>
          </w:p>
        </w:tc>
      </w:tr>
      <w:tr w:rsidTr="000174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017425">
            <w:pPr>
              <w:pStyle w:val="BodyText"/>
              <w:keepLines w:val="0"/>
            </w:pPr>
          </w:p>
        </w:tc>
        <w:tc>
          <w:tcPr>
            <w:tcW w:w="639"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rPr>
                <w:rStyle w:val="SpecialBold"/>
              </w:rPr>
              <w:t>2.6</w:t>
            </w:r>
          </w:p>
        </w:tc>
        <w:tc>
          <w:tcPr>
            <w:tcW w:w="5258"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t>Continuous i</w:t>
            </w:r>
            <w:r w:rsidRPr="00017425">
              <w:t xml:space="preserve">mprovement activities, including stakeholder training, are reviewed and monitored to ensure ethical practices are maintained </w:t>
            </w:r>
          </w:p>
        </w:tc>
      </w:tr>
      <w:tr w:rsidTr="000174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017425">
            <w:pPr>
              <w:pStyle w:val="BodyText"/>
              <w:keepLines w:val="0"/>
            </w:pPr>
          </w:p>
        </w:tc>
        <w:tc>
          <w:tcPr>
            <w:tcW w:w="639"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rPr>
                <w:rStyle w:val="SpecialBold"/>
              </w:rPr>
              <w:t>2.7</w:t>
            </w:r>
          </w:p>
        </w:tc>
        <w:tc>
          <w:tcPr>
            <w:tcW w:w="5258"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t>Community expectations in relation to supply chain ethical environmental and sustainability practices are monitored for cha</w:t>
            </w:r>
            <w:r w:rsidRPr="00017425">
              <w:t>nge</w:t>
            </w:r>
          </w:p>
        </w:tc>
      </w:tr>
      <w:tr w:rsidTr="000174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17425" w:rsidP="00017425">
            <w:pPr>
              <w:pStyle w:val="BodyText"/>
            </w:pPr>
            <w:r w:rsidRPr="00017425">
              <w:rPr>
                <w:rStyle w:val="SpecialBold"/>
              </w:rPr>
              <w:t>3</w:t>
            </w:r>
          </w:p>
        </w:tc>
        <w:tc>
          <w:tcPr>
            <w:tcW w:w="2839" w:type="dxa"/>
            <w:tcBorders>
              <w:top w:val="nil"/>
              <w:left w:val="nil"/>
              <w:bottom w:val="nil"/>
              <w:right w:val="nil"/>
            </w:tcBorders>
            <w:tcMar>
              <w:top w:w="0" w:type="dxa"/>
              <w:left w:w="62" w:type="dxa"/>
              <w:bottom w:w="0" w:type="dxa"/>
              <w:right w:w="62" w:type="dxa"/>
            </w:tcMar>
          </w:tcPr>
          <w:p w:rsidR="00000000" w:rsidRPr="00017425" w:rsidP="00017425">
            <w:pPr>
              <w:pStyle w:val="BodyText"/>
            </w:pPr>
            <w:r w:rsidRPr="00017425">
              <w:rPr>
                <w:rStyle w:val="SpecialBold"/>
              </w:rPr>
              <w:t>Review and report on ethical practices</w:t>
            </w:r>
          </w:p>
        </w:tc>
        <w:tc>
          <w:tcPr>
            <w:tcW w:w="639"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rPr>
                <w:rStyle w:val="SpecialBold"/>
              </w:rPr>
              <w:t>3.1</w:t>
            </w:r>
          </w:p>
        </w:tc>
        <w:tc>
          <w:tcPr>
            <w:tcW w:w="5258"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t>Ethical practices in the supply chain are evaluated against KPIs</w:t>
            </w:r>
          </w:p>
        </w:tc>
      </w:tr>
      <w:tr w:rsidTr="000174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017425">
            <w:pPr>
              <w:pStyle w:val="BodyText"/>
              <w:keepLines w:val="0"/>
            </w:pPr>
          </w:p>
        </w:tc>
        <w:tc>
          <w:tcPr>
            <w:tcW w:w="639"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rPr>
                <w:rStyle w:val="SpecialBold"/>
              </w:rPr>
              <w:t>3.2</w:t>
            </w:r>
          </w:p>
        </w:tc>
        <w:tc>
          <w:tcPr>
            <w:tcW w:w="5258"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t xml:space="preserve">Data on stakeholder ethical practices in the supply </w:t>
            </w:r>
            <w:r w:rsidRPr="00017425">
              <w:t xml:space="preserve">chain is reviewed, in accordance with supply chain procedures </w:t>
            </w:r>
          </w:p>
        </w:tc>
      </w:tr>
      <w:tr w:rsidTr="000174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017425">
            <w:pPr>
              <w:pStyle w:val="BodyText"/>
              <w:keepLines w:val="0"/>
            </w:pPr>
          </w:p>
        </w:tc>
        <w:tc>
          <w:tcPr>
            <w:tcW w:w="639"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rPr>
                <w:rStyle w:val="SpecialBold"/>
              </w:rPr>
              <w:t>3.3</w:t>
            </w:r>
          </w:p>
        </w:tc>
        <w:tc>
          <w:tcPr>
            <w:tcW w:w="5258"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t>Report on ethical practices, including recommendations, is prepared and disseminated to approved supply chain stakeholders</w:t>
            </w:r>
          </w:p>
        </w:tc>
      </w:tr>
      <w:tr w:rsidTr="0001742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017425">
            <w:pPr>
              <w:pStyle w:val="BodyText"/>
              <w:keepLines w:val="0"/>
            </w:pPr>
          </w:p>
        </w:tc>
        <w:tc>
          <w:tcPr>
            <w:tcW w:w="639" w:type="dxa"/>
            <w:tcBorders>
              <w:top w:val="nil"/>
              <w:left w:val="nil"/>
              <w:bottom w:val="nil"/>
              <w:right w:val="nil"/>
            </w:tcBorders>
            <w:tcMar>
              <w:top w:w="0" w:type="dxa"/>
              <w:left w:w="62" w:type="dxa"/>
              <w:bottom w:w="0" w:type="dxa"/>
              <w:right w:w="62" w:type="dxa"/>
            </w:tcMar>
          </w:tcPr>
          <w:p w:rsidR="00000000" w:rsidP="00017425">
            <w:pPr>
              <w:pStyle w:val="BodyText"/>
              <w:rPr>
                <w:lang w:val="en-NZ"/>
              </w:rPr>
            </w:pPr>
            <w:r w:rsidRPr="00017425">
              <w:rPr>
                <w:rStyle w:val="SpecialBold"/>
              </w:rPr>
              <w:t>3.4</w:t>
            </w:r>
          </w:p>
        </w:tc>
        <w:tc>
          <w:tcPr>
            <w:tcW w:w="5258" w:type="dxa"/>
            <w:tcBorders>
              <w:top w:val="nil"/>
              <w:left w:val="nil"/>
              <w:bottom w:val="nil"/>
              <w:right w:val="nil"/>
            </w:tcBorders>
            <w:tcMar>
              <w:top w:w="0" w:type="dxa"/>
              <w:left w:w="62" w:type="dxa"/>
              <w:bottom w:w="0" w:type="dxa"/>
              <w:right w:w="62" w:type="dxa"/>
            </w:tcMar>
          </w:tcPr>
          <w:p w:rsidR="00000000" w:rsidRPr="00017425" w:rsidP="00017425">
            <w:pPr>
              <w:pStyle w:val="BodyText"/>
            </w:pPr>
            <w:r w:rsidRPr="00017425">
              <w:t>Continuous improvement actions that support ethical practices in supply chains are documented</w:t>
            </w:r>
          </w:p>
        </w:tc>
      </w:tr>
    </w:tbl>
    <w:p w:rsidR="00000000" w:rsidRPr="00017425" w:rsidP="00017425">
      <w:pPr>
        <w:pStyle w:val="NoPaddingFontSize1"/>
      </w:pPr>
    </w:p>
    <w:p w:rsidR="00000000" w:rsidRPr="00017425" w:rsidP="00017425">
      <w:pPr>
        <w:pStyle w:val="AllowPageBreak"/>
      </w:pPr>
    </w:p>
    <w:p w:rsidR="00000000" w:rsidRPr="00017425" w:rsidP="00017425">
      <w:pPr>
        <w:pStyle w:val="Heading1"/>
      </w:pPr>
      <w:bookmarkStart w:id="7" w:name="O_1066468"/>
      <w:bookmarkEnd w:id="7"/>
      <w:r w:rsidRPr="00017425">
        <w:t xml:space="preserve">Foundation </w:t>
      </w:r>
      <w:r w:rsidRPr="00017425">
        <w:t>Skills</w:t>
      </w:r>
    </w:p>
    <w:tbl>
      <w:tblPr>
        <w:tblW w:w="9497" w:type="dxa"/>
        <w:tblLayout w:type="fixed"/>
        <w:tblCellMar>
          <w:left w:w="62" w:type="dxa"/>
          <w:right w:w="62" w:type="dxa"/>
        </w:tblCellMar>
        <w:tblLook w:val="0000"/>
      </w:tblPr>
      <w:tblGrid>
        <w:gridCol w:w="9497"/>
      </w:tblGrid>
      <w:tr w:rsidTr="00017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7425" w:rsidP="00017425">
            <w:pPr>
              <w:pStyle w:val="BodyText"/>
            </w:pPr>
            <w:r w:rsidRPr="00017425">
              <w:t>Foundation skills essential to performance are explicit in the performance criteria of this unit of competency.</w:t>
            </w:r>
          </w:p>
        </w:tc>
      </w:tr>
    </w:tbl>
    <w:p w:rsidR="002F4A96" w:rsidP="00017425">
      <w:pPr>
        <w:pStyle w:val="NoPaddingFontSize1"/>
      </w:pPr>
    </w:p>
    <w:p w:rsidR="002F4A96" w:rsidP="00017425">
      <w:pPr>
        <w:pStyle w:val="NoPaddingFontSize1"/>
      </w:pPr>
    </w:p>
    <w:p w:rsidR="00000000" w:rsidRPr="00017425" w:rsidP="00017425">
      <w:pPr>
        <w:pStyle w:val="Heading1"/>
      </w:pPr>
      <w:bookmarkStart w:id="8" w:name="O_1066469"/>
      <w:bookmarkEnd w:id="8"/>
      <w:r w:rsidRPr="00017425">
        <w:t>Range of Conditions</w:t>
      </w:r>
    </w:p>
    <w:tbl>
      <w:tblPr>
        <w:tblW w:w="9497" w:type="dxa"/>
        <w:tblLayout w:type="fixed"/>
        <w:tblCellMar>
          <w:left w:w="62" w:type="dxa"/>
          <w:right w:w="62" w:type="dxa"/>
        </w:tblCellMar>
        <w:tblLook w:val="0000"/>
      </w:tblPr>
      <w:tblGrid>
        <w:gridCol w:w="9497"/>
      </w:tblGrid>
      <w:tr w:rsidTr="00017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7425" w:rsidP="00017425">
            <w:pPr>
              <w:pStyle w:val="BodyText"/>
            </w:pPr>
            <w:r w:rsidRPr="00017425">
              <w:t>Range is restricted to essential operating conditions and any other variables essential to the work environment.</w:t>
            </w:r>
          </w:p>
          <w:p w:rsidR="00000000" w:rsidRPr="00017425" w:rsidP="00017425">
            <w:pPr>
              <w:pStyle w:val="BodyText"/>
            </w:pPr>
            <w:r w:rsidRPr="00017425">
              <w:t>Non-essential conditions may be found in the Companion Volume Implementation Guide.</w:t>
            </w:r>
          </w:p>
        </w:tc>
      </w:tr>
    </w:tbl>
    <w:p w:rsidR="002F4A96" w:rsidP="00017425">
      <w:pPr>
        <w:pStyle w:val="NoPaddingFontSize1"/>
      </w:pPr>
    </w:p>
    <w:p w:rsidR="002F4A96" w:rsidP="00017425">
      <w:pPr>
        <w:pStyle w:val="NoPaddingFontSize1"/>
      </w:pPr>
    </w:p>
    <w:p w:rsidR="00000000" w:rsidRPr="00017425" w:rsidP="00017425">
      <w:pPr>
        <w:pStyle w:val="Heading1"/>
      </w:pPr>
      <w:bookmarkStart w:id="9" w:name="O_1066470"/>
      <w:bookmarkEnd w:id="9"/>
      <w:r w:rsidRPr="00017425">
        <w:t>Unit Mapping Information</w:t>
      </w:r>
    </w:p>
    <w:tbl>
      <w:tblPr>
        <w:tblW w:w="9497" w:type="dxa"/>
        <w:tblLayout w:type="fixed"/>
        <w:tblCellMar>
          <w:left w:w="62" w:type="dxa"/>
          <w:right w:w="62" w:type="dxa"/>
        </w:tblCellMar>
        <w:tblLook w:val="0000"/>
      </w:tblPr>
      <w:tblGrid>
        <w:gridCol w:w="9497"/>
      </w:tblGrid>
      <w:tr w:rsidTr="00017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7425" w:rsidP="00017425">
            <w:pPr>
              <w:pStyle w:val="BodyText"/>
            </w:pPr>
            <w:r w:rsidRPr="00017425">
              <w:t>This is a ne</w:t>
            </w:r>
            <w:r w:rsidRPr="00017425">
              <w:t>w unit. There is no equivalent unit.</w:t>
            </w:r>
          </w:p>
        </w:tc>
      </w:tr>
    </w:tbl>
    <w:p w:rsidR="002F4A96" w:rsidP="00017425">
      <w:pPr>
        <w:pStyle w:val="NoPaddingFontSize1"/>
      </w:pPr>
    </w:p>
    <w:p w:rsidR="002F4A96" w:rsidP="00017425">
      <w:pPr>
        <w:pStyle w:val="NoPaddingFontSize1"/>
      </w:pPr>
    </w:p>
    <w:p w:rsidR="00000000" w:rsidRPr="00017425" w:rsidP="00017425">
      <w:pPr>
        <w:pStyle w:val="Heading1"/>
      </w:pPr>
      <w:bookmarkStart w:id="10" w:name="O_1066477"/>
      <w:bookmarkEnd w:id="10"/>
      <w:r w:rsidRPr="00017425">
        <w:t>Links</w:t>
      </w:r>
    </w:p>
    <w:p w:rsidR="00000000" w:rsidRPr="00017425" w:rsidP="002F4A96">
      <w:pPr>
        <w:pStyle w:val="BodyText"/>
      </w:pPr>
      <w:r w:rsidRPr="0001742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619EA">
        <w:rPr>
          <w:rStyle w:val="Hyperlink"/>
        </w:rPr>
        <w:t>https://vetnet.gov.au/Pages/TrainingDocs.aspx?q=df441c6e-213d-43e3-874c-0b3f7036d851</w:t>
      </w:r>
      <w:r>
        <w:fldChar w:fldCharType="end"/>
      </w:r>
    </w:p>
    <w:p w:rsidR="00000000" w:rsidRPr="00017425" w:rsidP="00017425"/>
    <w:sectPr w:rsidSect="000174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4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425" w:rsidRPr="002F4A96" w:rsidP="002F4A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4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96" w:rsidP="000174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4A96" w:rsidP="0001742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F4A96" w:rsidP="000174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4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7425" w:rsidRPr="002F4A96" w:rsidP="002F4A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4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96" w:rsidRPr="002D2AF8" w:rsidP="00017425">
    <w:pPr>
      <w:pStyle w:val="Header"/>
      <w:framePr w:wrap="around"/>
    </w:pPr>
    <w:r>
      <w:fldChar w:fldCharType="begin"/>
    </w:r>
    <w:r>
      <w:instrText xml:space="preserve"> TITLE   \* MERGEFORMAT </w:instrText>
    </w:r>
    <w:r>
      <w:fldChar w:fldCharType="separate"/>
    </w:r>
    <w:r>
      <w:t>TLIX0020X Monitor ethical supply chain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F4A96" w:rsidP="000174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4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7425"/>
    <w:pPr>
      <w:spacing w:before="360" w:after="60"/>
      <w:outlineLvl w:val="0"/>
    </w:pPr>
    <w:rPr>
      <w:sz w:val="32"/>
    </w:rPr>
  </w:style>
  <w:style w:type="paragraph" w:styleId="Heading2">
    <w:name w:val="heading 2"/>
    <w:basedOn w:val="HeadingBase"/>
    <w:next w:val="BodyText"/>
    <w:link w:val="Heading2Char"/>
    <w:qFormat/>
    <w:rsid w:val="00017425"/>
    <w:pPr>
      <w:keepLines/>
      <w:spacing w:before="240" w:after="120"/>
      <w:outlineLvl w:val="1"/>
    </w:pPr>
    <w:rPr>
      <w:sz w:val="28"/>
      <w:szCs w:val="40"/>
    </w:rPr>
  </w:style>
  <w:style w:type="paragraph" w:styleId="Heading3">
    <w:name w:val="heading 3"/>
    <w:basedOn w:val="HeadingBase"/>
    <w:next w:val="BodyText"/>
    <w:link w:val="Heading3Char"/>
    <w:qFormat/>
    <w:rsid w:val="00017425"/>
    <w:pPr>
      <w:spacing w:before="180" w:after="120"/>
      <w:outlineLvl w:val="2"/>
    </w:pPr>
    <w:rPr>
      <w:spacing w:val="-10"/>
      <w:kern w:val="32"/>
    </w:rPr>
  </w:style>
  <w:style w:type="paragraph" w:styleId="Heading4">
    <w:name w:val="heading 4"/>
    <w:basedOn w:val="HeadingBase"/>
    <w:next w:val="BodyText"/>
    <w:link w:val="Heading4Char"/>
    <w:qFormat/>
    <w:rsid w:val="00017425"/>
    <w:pPr>
      <w:spacing w:before="160" w:after="120"/>
      <w:outlineLvl w:val="3"/>
    </w:pPr>
    <w:rPr>
      <w:sz w:val="22"/>
    </w:rPr>
  </w:style>
  <w:style w:type="paragraph" w:styleId="Heading5">
    <w:name w:val="heading 5"/>
    <w:basedOn w:val="HeadingBase"/>
    <w:next w:val="Normal"/>
    <w:link w:val="Heading5Char"/>
    <w:qFormat/>
    <w:rsid w:val="00017425"/>
    <w:pPr>
      <w:spacing w:before="80"/>
      <w:outlineLvl w:val="4"/>
    </w:pPr>
    <w:rPr>
      <w:color w:val="918585"/>
      <w:sz w:val="20"/>
    </w:rPr>
  </w:style>
  <w:style w:type="paragraph" w:styleId="Heading6">
    <w:name w:val="heading 6"/>
    <w:basedOn w:val="HeadingBase"/>
    <w:next w:val="Normal"/>
    <w:link w:val="Heading6Char"/>
    <w:qFormat/>
    <w:rsid w:val="00017425"/>
    <w:pPr>
      <w:spacing w:before="60"/>
      <w:outlineLvl w:val="5"/>
    </w:pPr>
    <w:rPr>
      <w:color w:val="918585"/>
      <w:sz w:val="20"/>
    </w:rPr>
  </w:style>
  <w:style w:type="paragraph" w:styleId="Heading7">
    <w:name w:val="heading 7"/>
    <w:basedOn w:val="Normal"/>
    <w:next w:val="Normal"/>
    <w:link w:val="Heading7Char"/>
    <w:qFormat/>
    <w:rsid w:val="00017425"/>
    <w:pPr>
      <w:ind w:left="720"/>
      <w:outlineLvl w:val="6"/>
    </w:pPr>
    <w:rPr>
      <w:i/>
    </w:rPr>
  </w:style>
  <w:style w:type="paragraph" w:styleId="Heading8">
    <w:name w:val="heading 8"/>
    <w:basedOn w:val="Normal"/>
    <w:next w:val="Normal"/>
    <w:link w:val="Heading8Char"/>
    <w:qFormat/>
    <w:rsid w:val="00017425"/>
    <w:pPr>
      <w:ind w:left="720"/>
      <w:outlineLvl w:val="7"/>
    </w:pPr>
    <w:rPr>
      <w:i/>
    </w:rPr>
  </w:style>
  <w:style w:type="paragraph" w:styleId="Heading9">
    <w:name w:val="heading 9"/>
    <w:basedOn w:val="Normal"/>
    <w:next w:val="Normal"/>
    <w:link w:val="Heading9Char"/>
    <w:qFormat/>
    <w:rsid w:val="00017425"/>
    <w:pPr>
      <w:ind w:left="720"/>
      <w:outlineLvl w:val="8"/>
    </w:pPr>
    <w:rPr>
      <w:i/>
    </w:rPr>
  </w:style>
  <w:style w:type="character" w:default="1" w:styleId="DefaultParagraphFont">
    <w:name w:val="Default Paragraph Font"/>
    <w:uiPriority w:val="1"/>
    <w:unhideWhenUsed/>
    <w:rsid w:val="000174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7425"/>
  </w:style>
  <w:style w:type="character" w:customStyle="1" w:styleId="Heading1Char">
    <w:name w:val="Heading 1 Char"/>
    <w:basedOn w:val="DefaultParagraphFont"/>
    <w:link w:val="Heading1"/>
    <w:rsid w:val="00017425"/>
    <w:rPr>
      <w:rFonts w:ascii="Times New Roman" w:eastAsia="Times New Roman" w:hAnsi="Times New Roman" w:cs="Times New Roman"/>
      <w:b/>
      <w:sz w:val="32"/>
      <w:szCs w:val="20"/>
      <w:lang w:eastAsia="en-US"/>
    </w:rPr>
  </w:style>
  <w:style w:type="paragraph" w:styleId="BodyText">
    <w:name w:val="Body Text"/>
    <w:basedOn w:val="Normal"/>
    <w:link w:val="BodyTextChar"/>
    <w:rsid w:val="000174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7425"/>
    <w:rPr>
      <w:rFonts w:ascii="Times New Roman" w:eastAsia="Times New Roman" w:hAnsi="Times New Roman" w:cs="Times New Roman"/>
      <w:sz w:val="24"/>
      <w:lang w:eastAsia="en-US"/>
    </w:rPr>
  </w:style>
  <w:style w:type="character" w:customStyle="1" w:styleId="SpecialBold">
    <w:name w:val="Special Bold"/>
    <w:basedOn w:val="DefaultParagraphFont"/>
    <w:rsid w:val="00017425"/>
    <w:rPr>
      <w:b/>
      <w:spacing w:val="0"/>
    </w:rPr>
  </w:style>
  <w:style w:type="paragraph" w:customStyle="1" w:styleId="SuperHeading">
    <w:name w:val="SuperHeading"/>
    <w:basedOn w:val="Normal"/>
    <w:rsid w:val="00017425"/>
    <w:pPr>
      <w:spacing w:before="240" w:after="120"/>
      <w:outlineLvl w:val="0"/>
    </w:pPr>
    <w:rPr>
      <w:rFonts w:ascii="Times New Roman" w:hAnsi="Times New Roman"/>
      <w:b/>
      <w:sz w:val="32"/>
    </w:rPr>
  </w:style>
  <w:style w:type="paragraph" w:customStyle="1" w:styleId="AllowPageBreak">
    <w:name w:val="AllowPageBreak"/>
    <w:rsid w:val="000174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74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74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74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74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74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74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74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7425"/>
    <w:rPr>
      <w:rFonts w:ascii="Courier New" w:eastAsia="Times New Roman" w:hAnsi="Courier New" w:cs="Times New Roman"/>
      <w:i/>
      <w:szCs w:val="20"/>
      <w:lang w:eastAsia="en-US"/>
    </w:rPr>
  </w:style>
  <w:style w:type="paragraph" w:customStyle="1" w:styleId="HeadingBase">
    <w:name w:val="Heading Base"/>
    <w:rsid w:val="000174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7425"/>
    <w:pPr>
      <w:tabs>
        <w:tab w:val="right" w:leader="dot" w:pos="9072"/>
      </w:tabs>
      <w:ind w:left="567"/>
    </w:pPr>
    <w:rPr>
      <w:szCs w:val="22"/>
    </w:rPr>
  </w:style>
  <w:style w:type="paragraph" w:customStyle="1" w:styleId="TOCBase">
    <w:name w:val="TOC Base"/>
    <w:rsid w:val="000174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7425"/>
    <w:pPr>
      <w:tabs>
        <w:tab w:val="right" w:leader="dot" w:pos="9072"/>
      </w:tabs>
      <w:spacing w:before="40" w:after="40"/>
      <w:ind w:left="284"/>
    </w:pPr>
    <w:rPr>
      <w:rFonts w:ascii="Times New Roman" w:hAnsi="Times New Roman"/>
    </w:rPr>
  </w:style>
  <w:style w:type="paragraph" w:styleId="TOC1">
    <w:name w:val="toc 1"/>
    <w:basedOn w:val="TOCBase"/>
    <w:next w:val="Normal"/>
    <w:rsid w:val="000174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74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7425"/>
    <w:rPr>
      <w:rFonts w:ascii="Times New Roman" w:eastAsia="Times New Roman" w:hAnsi="Times New Roman" w:cs="Times New Roman"/>
      <w:sz w:val="16"/>
      <w:lang w:eastAsia="en-US"/>
    </w:rPr>
  </w:style>
  <w:style w:type="paragraph" w:styleId="Title">
    <w:name w:val="Title"/>
    <w:basedOn w:val="HeadingBase"/>
    <w:link w:val="TitleChar"/>
    <w:qFormat/>
    <w:rsid w:val="00017425"/>
    <w:pPr>
      <w:spacing w:before="5040"/>
      <w:jc w:val="center"/>
    </w:pPr>
    <w:rPr>
      <w:sz w:val="48"/>
      <w:szCs w:val="72"/>
      <w:lang w:val="en-US"/>
    </w:rPr>
  </w:style>
  <w:style w:type="character" w:customStyle="1" w:styleId="TitleChar">
    <w:name w:val="Title Char"/>
    <w:basedOn w:val="DefaultParagraphFont"/>
    <w:link w:val="Title"/>
    <w:rsid w:val="000174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7425"/>
    <w:pPr>
      <w:tabs>
        <w:tab w:val="left" w:pos="3600"/>
        <w:tab w:val="left" w:pos="3958"/>
      </w:tabs>
    </w:pPr>
  </w:style>
  <w:style w:type="paragraph" w:styleId="List">
    <w:name w:val="List"/>
    <w:basedOn w:val="BodyText"/>
    <w:next w:val="BodyText"/>
    <w:rsid w:val="00017425"/>
    <w:pPr>
      <w:tabs>
        <w:tab w:val="left" w:pos="340"/>
      </w:tabs>
      <w:spacing w:before="60" w:after="60"/>
      <w:ind w:left="340" w:hanging="340"/>
    </w:pPr>
  </w:style>
  <w:style w:type="paragraph" w:styleId="ListBullet">
    <w:name w:val="List Bullet"/>
    <w:basedOn w:val="List"/>
    <w:rsid w:val="00017425"/>
    <w:pPr>
      <w:numPr>
        <w:numId w:val="10"/>
      </w:numPr>
      <w:tabs>
        <w:tab w:val="clear" w:pos="340"/>
      </w:tabs>
      <w:spacing w:before="40" w:after="40"/>
    </w:pPr>
  </w:style>
  <w:style w:type="paragraph" w:customStyle="1" w:styleId="Note">
    <w:name w:val="Note"/>
    <w:basedOn w:val="BodyText"/>
    <w:rsid w:val="000174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7425"/>
    <w:pPr>
      <w:framePr w:wrap="auto" w:hAnchor="text" w:y="6049"/>
    </w:pPr>
    <w:rPr>
      <w:color w:val="000000"/>
      <w:sz w:val="40"/>
    </w:rPr>
  </w:style>
  <w:style w:type="paragraph" w:customStyle="1" w:styleId="TOCTitle">
    <w:name w:val="TOCTitle"/>
    <w:basedOn w:val="Heading1"/>
    <w:rsid w:val="00017425"/>
    <w:pPr>
      <w:spacing w:after="240"/>
      <w:jc w:val="center"/>
      <w:outlineLvl w:val="9"/>
    </w:pPr>
    <w:rPr>
      <w:caps/>
    </w:rPr>
  </w:style>
  <w:style w:type="paragraph" w:customStyle="1" w:styleId="Version">
    <w:name w:val="Version"/>
    <w:rsid w:val="000174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7425"/>
    <w:pPr>
      <w:numPr>
        <w:numId w:val="11"/>
      </w:numPr>
      <w:tabs>
        <w:tab w:val="clear" w:pos="680"/>
      </w:tabs>
    </w:pPr>
  </w:style>
  <w:style w:type="paragraph" w:styleId="Index1">
    <w:name w:val="index 1"/>
    <w:basedOn w:val="Normal"/>
    <w:next w:val="Normal"/>
    <w:semiHidden/>
    <w:rsid w:val="00017425"/>
    <w:pPr>
      <w:keepNext w:val="0"/>
      <w:tabs>
        <w:tab w:val="right" w:pos="4176"/>
      </w:tabs>
      <w:ind w:left="198" w:hanging="198"/>
    </w:pPr>
    <w:rPr>
      <w:rFonts w:ascii="Garamond" w:hAnsi="Garamond"/>
    </w:rPr>
  </w:style>
  <w:style w:type="paragraph" w:styleId="IndexHeading">
    <w:name w:val="index heading"/>
    <w:basedOn w:val="Normal"/>
    <w:next w:val="Index1"/>
    <w:semiHidden/>
    <w:rsid w:val="00017425"/>
    <w:pPr>
      <w:spacing w:before="120" w:after="120"/>
    </w:pPr>
    <w:rPr>
      <w:rFonts w:ascii="Arial" w:hAnsi="Arial"/>
      <w:b/>
      <w:color w:val="918585"/>
      <w:sz w:val="24"/>
    </w:rPr>
  </w:style>
  <w:style w:type="paragraph" w:styleId="Header">
    <w:name w:val="header"/>
    <w:basedOn w:val="Normal"/>
    <w:link w:val="HeaderChar"/>
    <w:rsid w:val="000174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7425"/>
    <w:rPr>
      <w:rFonts w:ascii="Times New Roman" w:eastAsia="Times New Roman" w:hAnsi="Times New Roman" w:cs="Times New Roman"/>
      <w:sz w:val="16"/>
      <w:szCs w:val="20"/>
      <w:lang w:val="en-GB" w:eastAsia="en-US"/>
    </w:rPr>
  </w:style>
  <w:style w:type="paragraph" w:customStyle="1" w:styleId="Chapter">
    <w:name w:val="Chapter"/>
    <w:basedOn w:val="Normal"/>
    <w:rsid w:val="00017425"/>
    <w:pPr>
      <w:spacing w:before="240"/>
    </w:pPr>
    <w:rPr>
      <w:rFonts w:ascii="Times New Roman" w:hAnsi="Times New Roman"/>
      <w:smallCaps/>
      <w:spacing w:val="80"/>
      <w:sz w:val="28"/>
    </w:rPr>
  </w:style>
  <w:style w:type="paragraph" w:customStyle="1" w:styleId="InChapter">
    <w:name w:val="InChapter"/>
    <w:basedOn w:val="Heading3"/>
    <w:rsid w:val="00017425"/>
    <w:pPr>
      <w:spacing w:after="240"/>
      <w:outlineLvl w:val="9"/>
    </w:pPr>
    <w:rPr>
      <w:noProof/>
    </w:rPr>
  </w:style>
  <w:style w:type="paragraph" w:styleId="Index2">
    <w:name w:val="index 2"/>
    <w:basedOn w:val="Normal"/>
    <w:next w:val="Normal"/>
    <w:semiHidden/>
    <w:rsid w:val="00017425"/>
    <w:pPr>
      <w:tabs>
        <w:tab w:val="right" w:pos="4176"/>
      </w:tabs>
      <w:ind w:left="568" w:hanging="284"/>
    </w:pPr>
    <w:rPr>
      <w:rFonts w:ascii="Garamond" w:hAnsi="Garamond"/>
    </w:rPr>
  </w:style>
  <w:style w:type="paragraph" w:customStyle="1" w:styleId="Byline">
    <w:name w:val="Byline"/>
    <w:rsid w:val="000174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7425"/>
    <w:pPr>
      <w:tabs>
        <w:tab w:val="clear" w:pos="3600"/>
        <w:tab w:val="clear" w:pos="3958"/>
      </w:tabs>
      <w:jc w:val="right"/>
    </w:pPr>
  </w:style>
  <w:style w:type="character" w:styleId="Emphasis">
    <w:name w:val="Emphasis"/>
    <w:basedOn w:val="DefaultParagraphFont"/>
    <w:qFormat/>
    <w:rsid w:val="00017425"/>
    <w:rPr>
      <w:i/>
    </w:rPr>
  </w:style>
  <w:style w:type="paragraph" w:styleId="Caption">
    <w:name w:val="caption"/>
    <w:basedOn w:val="BodyText"/>
    <w:next w:val="Normal"/>
    <w:qFormat/>
    <w:rsid w:val="00017425"/>
    <w:pPr>
      <w:framePr w:w="2268" w:hSpace="181" w:vSpace="181" w:wrap="around" w:vAnchor="text" w:hAnchor="page" w:x="1135" w:y="285" w:anchorLock="1"/>
    </w:pPr>
    <w:rPr>
      <w:i/>
    </w:rPr>
  </w:style>
  <w:style w:type="paragraph" w:customStyle="1" w:styleId="MiniTOCTitle">
    <w:name w:val="MiniTOCTitle"/>
    <w:basedOn w:val="Heading4"/>
    <w:rsid w:val="00017425"/>
    <w:pPr>
      <w:spacing w:before="240"/>
      <w:outlineLvl w:val="9"/>
    </w:pPr>
    <w:rPr>
      <w:noProof/>
      <w:sz w:val="24"/>
    </w:rPr>
  </w:style>
  <w:style w:type="paragraph" w:customStyle="1" w:styleId="MiniTOCItem">
    <w:name w:val="MiniTOCItem"/>
    <w:basedOn w:val="ListBullet"/>
    <w:rsid w:val="00017425"/>
    <w:pPr>
      <w:numPr>
        <w:numId w:val="0"/>
      </w:numPr>
      <w:tabs>
        <w:tab w:val="right" w:leader="dot" w:pos="6521"/>
      </w:tabs>
      <w:spacing w:before="0" w:after="0"/>
    </w:pPr>
  </w:style>
  <w:style w:type="paragraph" w:customStyle="1" w:styleId="TOFTitle">
    <w:name w:val="TOFTitle"/>
    <w:basedOn w:val="TOCTitle"/>
    <w:rsid w:val="00017425"/>
  </w:style>
  <w:style w:type="paragraph" w:styleId="TableofFigures">
    <w:name w:val="table of figures"/>
    <w:basedOn w:val="Normal"/>
    <w:next w:val="Normal"/>
    <w:semiHidden/>
    <w:rsid w:val="00017425"/>
    <w:pPr>
      <w:tabs>
        <w:tab w:val="right" w:leader="dot" w:pos="9072"/>
      </w:tabs>
      <w:ind w:left="970" w:hanging="403"/>
    </w:pPr>
    <w:rPr>
      <w:rFonts w:ascii="Times New Roman" w:hAnsi="Times New Roman"/>
      <w:b/>
    </w:rPr>
  </w:style>
  <w:style w:type="paragraph" w:styleId="ListNumber">
    <w:name w:val="List Number"/>
    <w:basedOn w:val="List"/>
    <w:rsid w:val="00017425"/>
    <w:pPr>
      <w:numPr>
        <w:numId w:val="13"/>
      </w:numPr>
      <w:tabs>
        <w:tab w:val="clear" w:pos="340"/>
      </w:tabs>
    </w:pPr>
  </w:style>
  <w:style w:type="character" w:customStyle="1" w:styleId="WingdingSymbols">
    <w:name w:val="Wingding Symbols"/>
    <w:rsid w:val="00017425"/>
    <w:rPr>
      <w:rFonts w:ascii="Wingdings" w:hAnsi="Wingdings"/>
    </w:rPr>
  </w:style>
  <w:style w:type="paragraph" w:customStyle="1" w:styleId="TableHeading">
    <w:name w:val="Table Heading"/>
    <w:basedOn w:val="HeadingBase"/>
    <w:rsid w:val="00017425"/>
    <w:pPr>
      <w:keepLines/>
      <w:pBdr>
        <w:bottom w:val="single" w:sz="6" w:space="1" w:color="918585"/>
      </w:pBdr>
      <w:spacing w:before="240"/>
    </w:pPr>
  </w:style>
  <w:style w:type="character" w:customStyle="1" w:styleId="HotSpot">
    <w:name w:val="HotSpot"/>
    <w:rsid w:val="00017425"/>
    <w:rPr>
      <w:color w:val="0033CC"/>
      <w:u w:val="none"/>
    </w:rPr>
  </w:style>
  <w:style w:type="paragraph" w:customStyle="1" w:styleId="BodyTextRight">
    <w:name w:val="Body Text Right"/>
    <w:basedOn w:val="BodyText"/>
    <w:rsid w:val="00017425"/>
    <w:pPr>
      <w:spacing w:before="0" w:after="0"/>
      <w:jc w:val="right"/>
    </w:pPr>
  </w:style>
  <w:style w:type="paragraph" w:styleId="Index3">
    <w:name w:val="index 3"/>
    <w:basedOn w:val="ListNumber2"/>
    <w:next w:val="Normal"/>
    <w:semiHidden/>
    <w:rsid w:val="00017425"/>
    <w:pPr>
      <w:numPr>
        <w:numId w:val="0"/>
      </w:numPr>
      <w:tabs>
        <w:tab w:val="right" w:leader="dot" w:pos="4176"/>
      </w:tabs>
    </w:pPr>
  </w:style>
  <w:style w:type="paragraph" w:styleId="ListNumber2">
    <w:name w:val="List Number 2"/>
    <w:basedOn w:val="List2"/>
    <w:rsid w:val="00017425"/>
    <w:pPr>
      <w:numPr>
        <w:numId w:val="8"/>
      </w:numPr>
      <w:tabs>
        <w:tab w:val="clear" w:pos="1060"/>
      </w:tabs>
    </w:pPr>
  </w:style>
  <w:style w:type="paragraph" w:customStyle="1" w:styleId="MarginNote">
    <w:name w:val="Margin Note"/>
    <w:basedOn w:val="BodyText"/>
    <w:rsid w:val="000174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74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74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7425"/>
    <w:rPr>
      <w:sz w:val="32"/>
    </w:rPr>
  </w:style>
  <w:style w:type="paragraph" w:customStyle="1" w:styleId="HeadingProcedure">
    <w:name w:val="Heading Procedure"/>
    <w:basedOn w:val="HeadingBase"/>
    <w:next w:val="Normal"/>
    <w:rsid w:val="00017425"/>
    <w:pPr>
      <w:tabs>
        <w:tab w:val="left" w:pos="0"/>
      </w:tabs>
      <w:spacing w:before="120" w:after="60"/>
    </w:pPr>
    <w:rPr>
      <w:i/>
      <w:color w:val="918585"/>
      <w:sz w:val="22"/>
    </w:rPr>
  </w:style>
  <w:style w:type="paragraph" w:customStyle="1" w:styleId="TableBodyText">
    <w:name w:val="Table Body Text"/>
    <w:basedOn w:val="BodyText"/>
    <w:rsid w:val="00017425"/>
    <w:pPr>
      <w:spacing w:before="60" w:after="60"/>
    </w:pPr>
  </w:style>
  <w:style w:type="paragraph" w:styleId="ListContinue">
    <w:name w:val="List Continue"/>
    <w:basedOn w:val="List"/>
    <w:rsid w:val="00017425"/>
    <w:pPr>
      <w:ind w:firstLine="0"/>
    </w:pPr>
  </w:style>
  <w:style w:type="paragraph" w:customStyle="1" w:styleId="ListNote">
    <w:name w:val="List Note"/>
    <w:basedOn w:val="List"/>
    <w:rsid w:val="00017425"/>
    <w:pPr>
      <w:pBdr>
        <w:top w:val="single" w:sz="6" w:space="2" w:color="918585"/>
        <w:bottom w:val="single" w:sz="6" w:space="2" w:color="918585"/>
      </w:pBdr>
      <w:tabs>
        <w:tab w:val="left" w:pos="1021"/>
      </w:tabs>
      <w:ind w:firstLine="0"/>
    </w:pPr>
  </w:style>
  <w:style w:type="paragraph" w:customStyle="1" w:styleId="Warning">
    <w:name w:val="Warning"/>
    <w:basedOn w:val="BodyText"/>
    <w:rsid w:val="00017425"/>
    <w:pPr>
      <w:shd w:val="clear" w:color="auto" w:fill="D9D9D9"/>
      <w:tabs>
        <w:tab w:val="left" w:pos="992"/>
      </w:tabs>
      <w:ind w:left="119" w:right="119"/>
    </w:pPr>
    <w:rPr>
      <w:sz w:val="20"/>
    </w:rPr>
  </w:style>
  <w:style w:type="paragraph" w:customStyle="1" w:styleId="MarginIcons">
    <w:name w:val="Margin Icons"/>
    <w:basedOn w:val="BodyText"/>
    <w:rsid w:val="000174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7425"/>
    <w:rPr>
      <w:rFonts w:ascii="Courier New" w:hAnsi="Courier New"/>
    </w:rPr>
  </w:style>
  <w:style w:type="paragraph" w:customStyle="1" w:styleId="NoteBullet">
    <w:name w:val="Note Bullet"/>
    <w:basedOn w:val="Note"/>
    <w:rsid w:val="00017425"/>
    <w:pPr>
      <w:tabs>
        <w:tab w:val="clear" w:pos="680"/>
      </w:tabs>
      <w:spacing w:before="60" w:after="60"/>
    </w:pPr>
  </w:style>
  <w:style w:type="paragraph" w:customStyle="1" w:styleId="SubHeading2">
    <w:name w:val="SubHeading2"/>
    <w:basedOn w:val="HeadingBase"/>
    <w:rsid w:val="00017425"/>
    <w:pPr>
      <w:spacing w:before="240" w:after="60"/>
    </w:pPr>
    <w:rPr>
      <w:sz w:val="20"/>
    </w:rPr>
  </w:style>
  <w:style w:type="paragraph" w:customStyle="1" w:styleId="SubHeading1">
    <w:name w:val="SubHeading1"/>
    <w:basedOn w:val="HeadingBase"/>
    <w:rsid w:val="00017425"/>
    <w:pPr>
      <w:spacing w:before="240" w:after="60"/>
    </w:pPr>
    <w:rPr>
      <w:color w:val="918585"/>
      <w:sz w:val="22"/>
    </w:rPr>
  </w:style>
  <w:style w:type="paragraph" w:customStyle="1" w:styleId="SideHeading">
    <w:name w:val="Side Heading"/>
    <w:basedOn w:val="HeadingBase"/>
    <w:rsid w:val="000174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7425"/>
    <w:pPr>
      <w:numPr>
        <w:numId w:val="9"/>
      </w:numPr>
    </w:pPr>
  </w:style>
  <w:style w:type="paragraph" w:styleId="PlainText">
    <w:name w:val="Plain Text"/>
    <w:basedOn w:val="Normal"/>
    <w:link w:val="PlainTextChar"/>
    <w:rsid w:val="00017425"/>
    <w:rPr>
      <w:sz w:val="20"/>
    </w:rPr>
  </w:style>
  <w:style w:type="character" w:customStyle="1" w:styleId="PlainTextChar">
    <w:name w:val="Plain Text Char"/>
    <w:basedOn w:val="DefaultParagraphFont"/>
    <w:link w:val="PlainText"/>
    <w:rsid w:val="00017425"/>
    <w:rPr>
      <w:rFonts w:ascii="Courier New" w:eastAsia="Times New Roman" w:hAnsi="Courier New" w:cs="Times New Roman"/>
      <w:sz w:val="20"/>
      <w:szCs w:val="20"/>
      <w:lang w:eastAsia="en-US"/>
    </w:rPr>
  </w:style>
  <w:style w:type="character" w:customStyle="1" w:styleId="MenuOption">
    <w:name w:val="Menu Option"/>
    <w:basedOn w:val="DefaultParagraphFont"/>
    <w:rsid w:val="00017425"/>
    <w:rPr>
      <w:b/>
      <w:smallCaps/>
    </w:rPr>
  </w:style>
  <w:style w:type="paragraph" w:customStyle="1" w:styleId="TableListNumber">
    <w:name w:val="Table List Number"/>
    <w:basedOn w:val="ListNumber"/>
    <w:rsid w:val="00017425"/>
    <w:pPr>
      <w:numPr>
        <w:numId w:val="0"/>
      </w:numPr>
    </w:pPr>
  </w:style>
  <w:style w:type="paragraph" w:styleId="TOC4">
    <w:name w:val="toc 4"/>
    <w:basedOn w:val="TOCBase"/>
    <w:next w:val="Normal"/>
    <w:semiHidden/>
    <w:rsid w:val="00017425"/>
    <w:pPr>
      <w:tabs>
        <w:tab w:val="right" w:leader="dot" w:pos="9071"/>
      </w:tabs>
      <w:ind w:left="1701"/>
    </w:pPr>
  </w:style>
  <w:style w:type="paragraph" w:customStyle="1" w:styleId="ListAlpha">
    <w:name w:val="List Alpha"/>
    <w:basedOn w:val="List"/>
    <w:rsid w:val="00017425"/>
    <w:pPr>
      <w:numPr>
        <w:numId w:val="7"/>
      </w:numPr>
    </w:pPr>
  </w:style>
  <w:style w:type="paragraph" w:customStyle="1" w:styleId="ListAlpha2">
    <w:name w:val="List Alpha 2"/>
    <w:basedOn w:val="List2"/>
    <w:rsid w:val="00017425"/>
    <w:pPr>
      <w:numPr>
        <w:numId w:val="6"/>
      </w:numPr>
    </w:pPr>
  </w:style>
  <w:style w:type="paragraph" w:styleId="List2">
    <w:name w:val="List 2"/>
    <w:basedOn w:val="BodyText"/>
    <w:rsid w:val="00017425"/>
    <w:pPr>
      <w:tabs>
        <w:tab w:val="left" w:pos="680"/>
      </w:tabs>
      <w:spacing w:before="60" w:after="60"/>
      <w:ind w:left="680" w:hanging="340"/>
    </w:pPr>
  </w:style>
  <w:style w:type="paragraph" w:styleId="List3">
    <w:name w:val="List 3"/>
    <w:basedOn w:val="BodyText"/>
    <w:rsid w:val="00017425"/>
    <w:pPr>
      <w:tabs>
        <w:tab w:val="left" w:pos="1021"/>
      </w:tabs>
      <w:spacing w:before="60" w:after="60"/>
      <w:ind w:left="1020" w:hanging="340"/>
    </w:pPr>
  </w:style>
  <w:style w:type="paragraph" w:styleId="List4">
    <w:name w:val="List 4"/>
    <w:basedOn w:val="BodyText"/>
    <w:rsid w:val="00017425"/>
    <w:pPr>
      <w:tabs>
        <w:tab w:val="left" w:pos="1361"/>
      </w:tabs>
      <w:spacing w:before="60" w:after="60"/>
      <w:ind w:left="1361" w:hanging="340"/>
    </w:pPr>
  </w:style>
  <w:style w:type="paragraph" w:styleId="List5">
    <w:name w:val="List 5"/>
    <w:basedOn w:val="BodyText"/>
    <w:rsid w:val="00017425"/>
    <w:pPr>
      <w:tabs>
        <w:tab w:val="left" w:pos="1701"/>
      </w:tabs>
      <w:spacing w:before="60" w:after="60"/>
      <w:ind w:left="1701" w:hanging="340"/>
    </w:pPr>
  </w:style>
  <w:style w:type="paragraph" w:styleId="ListBullet3">
    <w:name w:val="List Bullet 3"/>
    <w:basedOn w:val="List3"/>
    <w:rsid w:val="00017425"/>
    <w:pPr>
      <w:numPr>
        <w:numId w:val="12"/>
      </w:numPr>
      <w:tabs>
        <w:tab w:val="clear" w:pos="1021"/>
      </w:tabs>
      <w:ind w:left="1037" w:hanging="357"/>
    </w:pPr>
  </w:style>
  <w:style w:type="paragraph" w:styleId="ListBullet4">
    <w:name w:val="List Bullet 4"/>
    <w:basedOn w:val="List4"/>
    <w:rsid w:val="00017425"/>
    <w:pPr>
      <w:numPr>
        <w:numId w:val="1"/>
      </w:numPr>
      <w:tabs>
        <w:tab w:val="clear" w:pos="1361"/>
      </w:tabs>
    </w:pPr>
  </w:style>
  <w:style w:type="paragraph" w:styleId="ListBullet5">
    <w:name w:val="List Bullet 5"/>
    <w:basedOn w:val="List5"/>
    <w:rsid w:val="00017425"/>
    <w:pPr>
      <w:numPr>
        <w:numId w:val="2"/>
      </w:numPr>
    </w:pPr>
  </w:style>
  <w:style w:type="paragraph" w:styleId="ListContinue2">
    <w:name w:val="List Continue 2"/>
    <w:basedOn w:val="List2"/>
    <w:rsid w:val="00017425"/>
    <w:pPr>
      <w:ind w:firstLine="0"/>
    </w:pPr>
  </w:style>
  <w:style w:type="paragraph" w:styleId="ListContinue3">
    <w:name w:val="List Continue 3"/>
    <w:basedOn w:val="List3"/>
    <w:rsid w:val="00017425"/>
    <w:pPr>
      <w:ind w:left="1021" w:firstLine="0"/>
    </w:pPr>
  </w:style>
  <w:style w:type="paragraph" w:styleId="ListContinue4">
    <w:name w:val="List Continue 4"/>
    <w:basedOn w:val="List4"/>
    <w:rsid w:val="00017425"/>
    <w:pPr>
      <w:ind w:firstLine="0"/>
    </w:pPr>
  </w:style>
  <w:style w:type="paragraph" w:styleId="ListContinue5">
    <w:name w:val="List Continue 5"/>
    <w:basedOn w:val="List5"/>
    <w:rsid w:val="00017425"/>
    <w:pPr>
      <w:ind w:firstLine="0"/>
    </w:pPr>
  </w:style>
  <w:style w:type="paragraph" w:styleId="ListNumber3">
    <w:name w:val="List Number 3"/>
    <w:basedOn w:val="List3"/>
    <w:rsid w:val="00017425"/>
    <w:pPr>
      <w:numPr>
        <w:numId w:val="3"/>
      </w:numPr>
    </w:pPr>
  </w:style>
  <w:style w:type="paragraph" w:styleId="ListNumber4">
    <w:name w:val="List Number 4"/>
    <w:basedOn w:val="List4"/>
    <w:rsid w:val="00017425"/>
    <w:pPr>
      <w:numPr>
        <w:numId w:val="4"/>
      </w:numPr>
    </w:pPr>
  </w:style>
  <w:style w:type="paragraph" w:styleId="ListNumber5">
    <w:name w:val="List Number 5"/>
    <w:basedOn w:val="List5"/>
    <w:rsid w:val="00017425"/>
    <w:pPr>
      <w:numPr>
        <w:numId w:val="5"/>
      </w:numPr>
    </w:pPr>
  </w:style>
  <w:style w:type="paragraph" w:styleId="BlockText">
    <w:name w:val="Block Text"/>
    <w:basedOn w:val="Normal"/>
    <w:rsid w:val="00017425"/>
    <w:pPr>
      <w:spacing w:after="120"/>
      <w:ind w:left="1440" w:right="1440"/>
    </w:pPr>
  </w:style>
  <w:style w:type="character" w:customStyle="1" w:styleId="Subscript">
    <w:name w:val="Subscript"/>
    <w:basedOn w:val="DefaultParagraphFont"/>
    <w:rsid w:val="00017425"/>
    <w:rPr>
      <w:sz w:val="16"/>
      <w:vertAlign w:val="subscript"/>
    </w:rPr>
  </w:style>
  <w:style w:type="character" w:customStyle="1" w:styleId="Superscript">
    <w:name w:val="Superscript"/>
    <w:basedOn w:val="DefaultParagraphFont"/>
    <w:rsid w:val="00017425"/>
    <w:rPr>
      <w:sz w:val="16"/>
      <w:vertAlign w:val="superscript"/>
    </w:rPr>
  </w:style>
  <w:style w:type="character" w:customStyle="1" w:styleId="Symbols">
    <w:name w:val="Symbols"/>
    <w:basedOn w:val="DefaultParagraphFont"/>
    <w:rsid w:val="00017425"/>
    <w:rPr>
      <w:rFonts w:ascii="Symbol" w:hAnsi="Symbol"/>
    </w:rPr>
  </w:style>
  <w:style w:type="character" w:customStyle="1" w:styleId="MenuOptions">
    <w:name w:val="Menu Options"/>
    <w:basedOn w:val="DefaultParagraphFont"/>
    <w:rsid w:val="00017425"/>
    <w:rPr>
      <w:rFonts w:ascii="Arial Narrow" w:hAnsi="Arial Narrow"/>
      <w:smallCaps/>
    </w:rPr>
  </w:style>
  <w:style w:type="character" w:customStyle="1" w:styleId="Buttons">
    <w:name w:val="Buttons"/>
    <w:basedOn w:val="DefaultParagraphFont"/>
    <w:rsid w:val="00017425"/>
    <w:rPr>
      <w:b/>
    </w:rPr>
  </w:style>
  <w:style w:type="character" w:customStyle="1" w:styleId="Underlined">
    <w:name w:val="Underlined"/>
    <w:basedOn w:val="DefaultParagraphFont"/>
    <w:rsid w:val="00017425"/>
    <w:rPr>
      <w:u w:val="single"/>
    </w:rPr>
  </w:style>
  <w:style w:type="paragraph" w:customStyle="1" w:styleId="TableBodyTextRight">
    <w:name w:val="Table Body Text Right"/>
    <w:basedOn w:val="TableBodyText"/>
    <w:rsid w:val="00017425"/>
    <w:pPr>
      <w:widowControl w:val="0"/>
      <w:autoSpaceDE w:val="0"/>
      <w:autoSpaceDN w:val="0"/>
      <w:adjustRightInd w:val="0"/>
      <w:jc w:val="right"/>
    </w:pPr>
    <w:rPr>
      <w:rFonts w:cs="Arial"/>
      <w:szCs w:val="18"/>
    </w:rPr>
  </w:style>
  <w:style w:type="paragraph" w:customStyle="1" w:styleId="CopyrightText">
    <w:name w:val="Copyright Text"/>
    <w:basedOn w:val="BodyText"/>
    <w:rsid w:val="00017425"/>
    <w:rPr>
      <w:sz w:val="18"/>
    </w:rPr>
  </w:style>
  <w:style w:type="paragraph" w:customStyle="1" w:styleId="BodySmallRight">
    <w:name w:val="Body Small Right"/>
    <w:basedOn w:val="BodyTextRight"/>
    <w:rsid w:val="00017425"/>
    <w:rPr>
      <w:sz w:val="18"/>
      <w:szCs w:val="18"/>
    </w:rPr>
  </w:style>
  <w:style w:type="paragraph" w:customStyle="1" w:styleId="MarginEdition">
    <w:name w:val="Margin Edition"/>
    <w:basedOn w:val="MarginNote"/>
    <w:rsid w:val="00017425"/>
    <w:pPr>
      <w:spacing w:before="0" w:after="0"/>
    </w:pPr>
    <w:rPr>
      <w:rFonts w:ascii="Times New Roman" w:hAnsi="Times New Roman"/>
      <w:color w:val="999999"/>
    </w:rPr>
  </w:style>
  <w:style w:type="paragraph" w:customStyle="1" w:styleId="Spacer">
    <w:name w:val="Spacer"/>
    <w:basedOn w:val="Normal"/>
    <w:rsid w:val="00017425"/>
    <w:rPr>
      <w:sz w:val="2"/>
      <w:szCs w:val="2"/>
    </w:rPr>
  </w:style>
  <w:style w:type="character" w:customStyle="1" w:styleId="Small">
    <w:name w:val="Small"/>
    <w:basedOn w:val="DefaultParagraphFont"/>
    <w:rsid w:val="00017425"/>
    <w:rPr>
      <w:sz w:val="16"/>
    </w:rPr>
  </w:style>
  <w:style w:type="paragraph" w:customStyle="1" w:styleId="WideTable">
    <w:name w:val="Wide Table"/>
    <w:basedOn w:val="Normal"/>
    <w:rsid w:val="00017425"/>
    <w:pPr>
      <w:ind w:left="-1418"/>
    </w:pPr>
    <w:rPr>
      <w:sz w:val="2"/>
      <w:szCs w:val="2"/>
    </w:rPr>
  </w:style>
  <w:style w:type="character" w:styleId="PageNumber">
    <w:name w:val="page number"/>
    <w:basedOn w:val="DefaultParagraphFont"/>
    <w:rsid w:val="00017425"/>
  </w:style>
  <w:style w:type="paragraph" w:styleId="Quote">
    <w:name w:val="Quote"/>
    <w:basedOn w:val="Heading1"/>
    <w:link w:val="QuoteChar"/>
    <w:qFormat/>
    <w:rsid w:val="00017425"/>
    <w:rPr>
      <w:b w:val="0"/>
      <w:sz w:val="72"/>
      <w:szCs w:val="72"/>
      <w:lang w:val="en-NZ"/>
    </w:rPr>
  </w:style>
  <w:style w:type="character" w:customStyle="1" w:styleId="QuoteChar">
    <w:name w:val="Quote Char"/>
    <w:basedOn w:val="DefaultParagraphFont"/>
    <w:link w:val="Quote"/>
    <w:rsid w:val="000174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7425"/>
    <w:pPr>
      <w:pageBreakBefore/>
    </w:pPr>
  </w:style>
  <w:style w:type="paragraph" w:customStyle="1" w:styleId="Border">
    <w:name w:val="Border"/>
    <w:basedOn w:val="Normal"/>
    <w:qFormat/>
    <w:rsid w:val="000174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7425"/>
    <w:rPr>
      <w:b/>
      <w:bCs/>
      <w:i/>
      <w:iCs/>
      <w:color w:val="auto"/>
    </w:rPr>
  </w:style>
  <w:style w:type="paragraph" w:styleId="IntenseQuote">
    <w:name w:val="Intense Quote"/>
    <w:basedOn w:val="Normal"/>
    <w:next w:val="Normal"/>
    <w:link w:val="IntenseQuoteChar"/>
    <w:uiPriority w:val="30"/>
    <w:qFormat/>
    <w:rsid w:val="000174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74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7425"/>
    <w:rPr>
      <w:smallCaps/>
      <w:color w:val="auto"/>
      <w:u w:val="single"/>
    </w:rPr>
  </w:style>
  <w:style w:type="character" w:styleId="IntenseReference">
    <w:name w:val="Intense Reference"/>
    <w:basedOn w:val="DefaultParagraphFont"/>
    <w:uiPriority w:val="32"/>
    <w:qFormat/>
    <w:rsid w:val="00017425"/>
    <w:rPr>
      <w:b/>
      <w:bCs/>
      <w:smallCaps/>
      <w:color w:val="auto"/>
      <w:spacing w:val="5"/>
      <w:u w:val="single"/>
    </w:rPr>
  </w:style>
  <w:style w:type="paragraph" w:customStyle="1" w:styleId="2ColumnHeading">
    <w:name w:val="2Column Heading"/>
    <w:basedOn w:val="BodyText"/>
    <w:qFormat/>
    <w:rsid w:val="00017425"/>
    <w:pPr>
      <w:spacing w:after="60"/>
      <w:ind w:left="-2268"/>
    </w:pPr>
    <w:rPr>
      <w:b/>
    </w:rPr>
  </w:style>
  <w:style w:type="paragraph" w:customStyle="1" w:styleId="Heading1TOC">
    <w:name w:val="Heading1 TOC"/>
    <w:basedOn w:val="Normal"/>
    <w:qFormat/>
    <w:rsid w:val="00017425"/>
    <w:pPr>
      <w:spacing w:before="240" w:after="120"/>
    </w:pPr>
    <w:rPr>
      <w:rFonts w:ascii="Times New Roman" w:hAnsi="Times New Roman"/>
      <w:b/>
      <w:sz w:val="32"/>
    </w:rPr>
  </w:style>
  <w:style w:type="paragraph" w:customStyle="1" w:styleId="Heading2TOC">
    <w:name w:val="Heading2 TOC"/>
    <w:basedOn w:val="Normal"/>
    <w:qFormat/>
    <w:rsid w:val="00017425"/>
    <w:pPr>
      <w:spacing w:before="240" w:after="60"/>
    </w:pPr>
    <w:rPr>
      <w:rFonts w:ascii="Times New Roman" w:hAnsi="Times New Roman"/>
      <w:b/>
      <w:sz w:val="28"/>
    </w:rPr>
  </w:style>
  <w:style w:type="character" w:customStyle="1" w:styleId="Underline">
    <w:name w:val="Underline"/>
    <w:basedOn w:val="DefaultParagraphFont"/>
    <w:qFormat/>
    <w:rsid w:val="00017425"/>
    <w:rPr>
      <w:u w:val="single"/>
    </w:rPr>
  </w:style>
  <w:style w:type="character" w:customStyle="1" w:styleId="BoldandItalics">
    <w:name w:val="Bold and Italics"/>
    <w:qFormat/>
    <w:rsid w:val="00017425"/>
    <w:rPr>
      <w:b/>
      <w:i/>
      <w:u w:val="none"/>
    </w:rPr>
  </w:style>
  <w:style w:type="paragraph" w:styleId="BalloonText">
    <w:name w:val="Balloon Text"/>
    <w:basedOn w:val="Normal"/>
    <w:link w:val="BalloonTextChar"/>
    <w:rsid w:val="00017425"/>
    <w:rPr>
      <w:rFonts w:ascii="Tahoma" w:hAnsi="Tahoma" w:cs="Tahoma"/>
      <w:sz w:val="16"/>
      <w:szCs w:val="16"/>
    </w:rPr>
  </w:style>
  <w:style w:type="character" w:customStyle="1" w:styleId="BalloonTextChar">
    <w:name w:val="Balloon Text Char"/>
    <w:basedOn w:val="DefaultParagraphFont"/>
    <w:link w:val="BalloonText"/>
    <w:rsid w:val="000174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74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74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7425"/>
    <w:rPr>
      <w:b/>
      <w:color w:val="660033"/>
      <w:spacing w:val="0"/>
    </w:rPr>
  </w:style>
  <w:style w:type="paragraph" w:customStyle="1" w:styleId="Nameditemlist">
    <w:name w:val="Named item list"/>
    <w:basedOn w:val="BodyText"/>
    <w:qFormat/>
    <w:rsid w:val="00017425"/>
    <w:pPr>
      <w:tabs>
        <w:tab w:val="left" w:pos="2835"/>
      </w:tabs>
      <w:ind w:left="2835" w:hanging="2835"/>
    </w:pPr>
  </w:style>
  <w:style w:type="paragraph" w:customStyle="1" w:styleId="BodyTextnopadding">
    <w:name w:val="Body Text no padding"/>
    <w:basedOn w:val="BodyText"/>
    <w:qFormat/>
    <w:rsid w:val="00017425"/>
    <w:pPr>
      <w:spacing w:before="0" w:after="0"/>
    </w:pPr>
  </w:style>
  <w:style w:type="paragraph" w:customStyle="1" w:styleId="BodyTextBold">
    <w:name w:val="Body Text Bold"/>
    <w:basedOn w:val="BodyText"/>
    <w:qFormat/>
    <w:rsid w:val="00017425"/>
    <w:rPr>
      <w:b/>
    </w:rPr>
  </w:style>
  <w:style w:type="character" w:styleId="Hyperlink">
    <w:name w:val="Hyperlink"/>
    <w:basedOn w:val="DefaultParagraphFont"/>
    <w:uiPriority w:val="99"/>
    <w:unhideWhenUsed/>
    <w:rsid w:val="002F4A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581</Words>
  <Characters>3687</Characters>
  <Application>Microsoft Office Word</Application>
  <DocSecurity>0</DocSecurity>
  <Lines>175</Lines>
  <Paragraphs>85</Paragraphs>
  <ScaleCrop>false</ScaleCrop>
  <Company>Author-it Software Corporation Ltd.</Company>
  <LinksUpToDate>false</LinksUpToDate>
  <CharactersWithSpaces>4183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TLIX0020X Monitor ethical supply chain practices</dc:title>
  <dc:subject>Approved</dc:subject>
  <dc:creator>Industry Skills Australia</dc:creator>
  <cp:keywords>Release: 1</cp:keywords>
  <dc:description>Review Date: 12 April 2008</dc:description>
  <cp:lastModifiedBy>HSD_TPCMSd.prod</cp:lastModifiedBy>
  <cp:revision>3</cp:revision>
  <dcterms:created xsi:type="dcterms:W3CDTF">2024-07-12T07:59:00Z</dcterms:created>
  <dcterms:modified xsi:type="dcterms:W3CDTF">2024-07-12T07:59:00Z</dcterms:modified>
</cp:coreProperties>
</file>