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945" w:rsidP="00483945">
      <w:pPr>
        <w:pStyle w:val="Title"/>
      </w:pPr>
      <w:r>
        <w:fldChar w:fldCharType="begin"/>
      </w:r>
      <w:r>
        <w:instrText xml:space="preserve"> TITLE   \* MERGEFORMAT </w:instrText>
      </w:r>
      <w:r>
        <w:fldChar w:fldCharType="separate"/>
      </w:r>
      <w:r>
        <w:t>TLIX0020X Monitor ethical supply chain practices</w:t>
      </w:r>
      <w:r>
        <w:fldChar w:fldCharType="end"/>
      </w:r>
    </w:p>
    <w:p w:rsidR="00483945" w:rsidP="00483945">
      <w:pPr>
        <w:pStyle w:val="Version"/>
        <w:sectPr w:rsidSect="00F02D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D4B" w:rsidP="00F02D4B">
      <w:pPr>
        <w:pStyle w:val="SuperHeading"/>
      </w:pPr>
      <w:r w:rsidRPr="00F02D4B">
        <w:t>TLIX0020X Monitor ethical supply chain practices</w:t>
      </w:r>
    </w:p>
    <w:p w:rsidR="00000000" w:rsidRPr="00F02D4B" w:rsidP="00F02D4B">
      <w:pPr>
        <w:pStyle w:val="Heading1"/>
      </w:pPr>
      <w:bookmarkStart w:id="1" w:name="O_1066462"/>
      <w:bookmarkEnd w:id="1"/>
      <w:r w:rsidRPr="00F02D4B">
        <w:t>Modification History</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Release 1.</w:t>
            </w:r>
            <w:r w:rsidRPr="00F02D4B">
              <w:t xml:space="preserve"> This is the first release of this unit of competency in the TLI Transport and Logistics Training Package.</w:t>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2" w:name="O_1066463"/>
      <w:bookmarkEnd w:id="2"/>
      <w:r w:rsidRPr="00F02D4B">
        <w:t>Application</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This unit of competency describes the skills and knowledge required to monit</w:t>
            </w:r>
            <w:r w:rsidRPr="00F02D4B">
              <w:t>or ethical practices in supply chains. It includes determining ethical supply chain functions, monitoring ethical practices and reporting on ethical supply chain practices.</w:t>
            </w:r>
          </w:p>
          <w:p w:rsidR="00000000" w:rsidRPr="00F02D4B" w:rsidP="00F02D4B">
            <w:pPr>
              <w:pStyle w:val="BodyText"/>
            </w:pPr>
            <w:r w:rsidRPr="00F02D4B">
              <w:t>Ethical supply chains seek to ensure that sustainable labour, supply and environmen</w:t>
            </w:r>
            <w:r w:rsidRPr="00F02D4B">
              <w:t>tal practices are fair. Participating in an ethical supply chain will involve conducting due diligence to confirm the integrity of suppliers, contractors, agents and other intermediaries. Unethical supply chains typically do not comply with legislative obl</w:t>
            </w:r>
            <w:r w:rsidRPr="00F02D4B">
              <w:t>igations, codes of practice or agreed industry standards.</w:t>
            </w:r>
          </w:p>
          <w:p w:rsidR="00000000" w:rsidRPr="00F02D4B" w:rsidP="00F02D4B">
            <w:pPr>
              <w:pStyle w:val="BodyText"/>
            </w:pPr>
            <w:r w:rsidRPr="00F02D4B">
              <w:t>The unit is applicable to those with management or team leadership responsibilities within a supply chain.</w:t>
            </w:r>
          </w:p>
          <w:p w:rsidR="00000000" w:rsidRPr="00F02D4B" w:rsidP="00F02D4B">
            <w:pPr>
              <w:pStyle w:val="BodyText"/>
            </w:pPr>
            <w:r w:rsidRPr="00F02D4B">
              <w:t>No licensing, legislative or certification requirements apply to this unit at the time of p</w:t>
            </w:r>
            <w:r w:rsidRPr="00F02D4B">
              <w:t>ublication.</w:t>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3" w:name="O_1066464"/>
      <w:bookmarkEnd w:id="3"/>
      <w:r w:rsidRPr="00F02D4B">
        <w:t>Pre-requisite Unit</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Not applicable</w:t>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4" w:name="O_1066465"/>
      <w:bookmarkEnd w:id="4"/>
      <w:r w:rsidRPr="00F02D4B">
        <w:t>Competency Field</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X - Logistics</w:t>
            </w:r>
          </w:p>
        </w:tc>
      </w:tr>
    </w:tbl>
    <w:p w:rsidR="00483945" w:rsidP="00F02D4B">
      <w:pPr>
        <w:pStyle w:val="NoPaddingFontSize1"/>
      </w:pPr>
    </w:p>
    <w:p w:rsidR="00483945" w:rsidP="00F02D4B">
      <w:pPr>
        <w:pStyle w:val="NoPaddingFontSize1"/>
      </w:pPr>
    </w:p>
    <w:p w:rsidR="00000000" w:rsidRPr="00F02D4B" w:rsidP="00F02D4B">
      <w:pPr>
        <w:pStyle w:val="Heading1"/>
      </w:pPr>
      <w:bookmarkStart w:id="5" w:name="O_1066466"/>
      <w:bookmarkEnd w:id="5"/>
      <w:r w:rsidRPr="00F02D4B">
        <w:t>Unit Sector</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Cross Sector</w:t>
            </w:r>
          </w:p>
        </w:tc>
      </w:tr>
    </w:tbl>
    <w:p w:rsidR="00483945" w:rsidP="00F02D4B">
      <w:pPr>
        <w:pStyle w:val="NoPaddingFontSize1"/>
      </w:pPr>
    </w:p>
    <w:p w:rsidR="00483945" w:rsidP="00F02D4B">
      <w:pPr>
        <w:pStyle w:val="NoPaddingFontSize1"/>
      </w:pPr>
    </w:p>
    <w:p w:rsidR="00000000" w:rsidRPr="00F02D4B" w:rsidP="00F02D4B">
      <w:pPr>
        <w:pStyle w:val="Heading1"/>
      </w:pPr>
      <w:bookmarkStart w:id="6" w:name="O_1066467"/>
      <w:bookmarkEnd w:id="6"/>
      <w:r w:rsidRPr="00F02D4B">
        <w:t>Elements and Performance Criteria</w:t>
      </w:r>
    </w:p>
    <w:tbl>
      <w:tblPr>
        <w:tblW w:w="0" w:type="auto"/>
        <w:tblLayout w:type="fixed"/>
        <w:tblCellMar>
          <w:left w:w="62" w:type="dxa"/>
          <w:right w:w="62" w:type="dxa"/>
        </w:tblCellMar>
        <w:tblLook w:val="0000"/>
      </w:tblPr>
      <w:tblGrid>
        <w:gridCol w:w="403"/>
        <w:gridCol w:w="2839"/>
        <w:gridCol w:w="639"/>
        <w:gridCol w:w="5258"/>
      </w:tblGrid>
      <w:tr w:rsidTr="00F02D4B">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PERFORMANCE CRITERIA</w:t>
            </w:r>
          </w:p>
        </w:tc>
      </w:tr>
      <w:tr w:rsidTr="00F02D4B">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Performance criteria describe the performance needed to demonstrate achievement of the element.</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Determine</w:t>
            </w:r>
            <w:r w:rsidRPr="00F02D4B">
              <w:t xml:space="preserve"> </w:t>
            </w:r>
            <w:r w:rsidRPr="00F02D4B">
              <w:rPr>
                <w:rStyle w:val="SpecialBold"/>
              </w:rPr>
              <w:t xml:space="preserve">ethical </w:t>
            </w:r>
            <w:r w:rsidRPr="00F02D4B">
              <w:rPr>
                <w:rStyle w:val="SpecialBold"/>
              </w:rPr>
              <w:t xml:space="preserve">practices </w:t>
            </w: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1.1</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 xml:space="preserve">Requirements of supply chain legislation, regulations </w:t>
            </w:r>
            <w:r w:rsidRPr="00F02D4B">
              <w:t>and industry standards are</w:t>
            </w:r>
            <w:r w:rsidRPr="00F02D4B">
              <w:t xml:space="preserve"> confirmed</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1.2</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Welfare and sustainability practices for each stage of the supply chain are identified and mapped</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1.3</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 xml:space="preserve">Policies and procedures to support ethical practices in the supply chain are confirmed </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1.4</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Key Performance Indicat</w:t>
            </w:r>
            <w:r w:rsidRPr="00F02D4B">
              <w:t xml:space="preserve">ors (KPIs) for ethical practices are verified </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1.5</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Community expectations throughout the supply chain, in relation to ethical practices, are determined</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1.6</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Responsibility and level of authority for monitoring ethical practice in the supply chain is c</w:t>
            </w:r>
            <w:r w:rsidRPr="00F02D4B">
              <w:t>onfirmed</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Monitor ethical practices</w:t>
            </w:r>
            <w:r w:rsidRPr="00F02D4B">
              <w:t xml:space="preserve"> </w:t>
            </w: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2.1</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 xml:space="preserve">Integrity of supply chain stakeholders is monitored, in accordance with supply chain procedures, using approved methods and tools </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2.2</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 xml:space="preserve">Product provenance is monitored to ensure ethical relationships and practices are maintained throughout the supply chain </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2.3</w:t>
            </w:r>
          </w:p>
          <w:p w:rsidR="00000000">
            <w:pPr>
              <w:pStyle w:val="BodyText"/>
              <w:keepLines w:val="0"/>
              <w:spacing w:before="0" w:after="0"/>
              <w:rPr>
                <w:rFonts w:ascii="Tahoma" w:hAnsi="Tahoma"/>
                <w:sz w:val="20"/>
                <w:lang w:val="en-NZ"/>
              </w:rPr>
            </w:pP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Stakeholder compliance to legislative obligations and codes of practice is monitored, in accordance with supply chain procedur</w:t>
            </w:r>
            <w:r w:rsidRPr="00F02D4B">
              <w:t>es</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2.4</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Reports of unethical supply chain practices, including those from anonymous whistle blowers, are assessed and actioned, in accordance with supply chain procedures</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2.5</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Corrective actions for unethical practices are documented and monitored, in accordance with supply chain procedures</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2.6</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Continuous improvement activities, including stakeholder training, are reviewed and monitored to ensure ethical practices are maintai</w:t>
            </w:r>
            <w:r w:rsidRPr="00F02D4B">
              <w:t xml:space="preserve">ned </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2.7</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Community expectations in relation to supply chain ethical environmental and sustainability practices are monitored for change</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Review and report on ethical practices</w:t>
            </w: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3.1</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Ethical practices in the supply chain are evaluated against KPIs</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3.2</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 xml:space="preserve">Data on stakeholder ethical practices in the supply </w:t>
            </w:r>
            <w:r w:rsidRPr="00F02D4B">
              <w:t xml:space="preserve">chain is reviewed, in accordance with supply chain procedures </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3.3</w:t>
            </w:r>
          </w:p>
        </w:tc>
        <w:tc>
          <w:tcPr>
            <w:tcW w:w="5258"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Report on ethical practices, including recommendations, is prepared and disseminated to approved supply chain stakeholders</w:t>
            </w:r>
          </w:p>
        </w:tc>
      </w:tr>
      <w:tr w:rsidTr="00F02D4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F02D4B">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rPr>
                <w:rStyle w:val="SpecialBold"/>
              </w:rPr>
              <w:t>3.4</w:t>
            </w:r>
          </w:p>
        </w:tc>
        <w:tc>
          <w:tcPr>
            <w:tcW w:w="5258"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Continuous improvement actions that support ethical practices in supply chains are documented</w:t>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7" w:name="O_1066468"/>
      <w:bookmarkEnd w:id="7"/>
      <w:r w:rsidRPr="00F02D4B">
        <w:t>Foundation Skills</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Foundation skills essential to performance are explicit in the performance criteria of this unit of competency.</w:t>
            </w:r>
          </w:p>
        </w:tc>
      </w:tr>
    </w:tbl>
    <w:p w:rsidR="00483945" w:rsidP="00F02D4B">
      <w:pPr>
        <w:pStyle w:val="NoPaddingFontSize1"/>
      </w:pPr>
    </w:p>
    <w:p w:rsidR="00483945" w:rsidP="00F02D4B">
      <w:pPr>
        <w:pStyle w:val="NoPaddingFontSize1"/>
      </w:pPr>
    </w:p>
    <w:p w:rsidR="00000000" w:rsidRPr="00F02D4B" w:rsidP="00F02D4B">
      <w:pPr>
        <w:pStyle w:val="Heading1"/>
      </w:pPr>
      <w:bookmarkStart w:id="8" w:name="O_1066469"/>
      <w:bookmarkEnd w:id="8"/>
      <w:r w:rsidRPr="00F02D4B">
        <w:t>Range of Conditions</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Range is restricted to essential operating conditions and any other variables essential to the work environment.</w:t>
            </w:r>
          </w:p>
          <w:p w:rsidR="00000000" w:rsidRPr="00F02D4B" w:rsidP="00F02D4B">
            <w:pPr>
              <w:pStyle w:val="BodyText"/>
            </w:pPr>
            <w:r w:rsidRPr="00F02D4B">
              <w:t>Non-essential conditions may be found in the Companion Volume Implementation Guide.</w:t>
            </w:r>
          </w:p>
        </w:tc>
      </w:tr>
    </w:tbl>
    <w:p w:rsidR="00483945" w:rsidP="00F02D4B">
      <w:pPr>
        <w:pStyle w:val="NoPaddingFontSize1"/>
      </w:pPr>
    </w:p>
    <w:p w:rsidR="00483945" w:rsidP="00F02D4B">
      <w:pPr>
        <w:pStyle w:val="NoPaddingFontSize1"/>
      </w:pPr>
    </w:p>
    <w:p w:rsidR="00000000" w:rsidRPr="00F02D4B" w:rsidP="00F02D4B">
      <w:pPr>
        <w:pStyle w:val="Heading1"/>
      </w:pPr>
      <w:bookmarkStart w:id="9" w:name="O_1066470"/>
      <w:bookmarkEnd w:id="9"/>
      <w:r w:rsidRPr="00F02D4B">
        <w:t>Unit Mapping Information</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This is a new unit. There is no equivalent unit.</w:t>
            </w:r>
          </w:p>
        </w:tc>
      </w:tr>
    </w:tbl>
    <w:p w:rsidR="00483945" w:rsidP="00F02D4B">
      <w:pPr>
        <w:pStyle w:val="NoPaddingFontSize1"/>
      </w:pPr>
    </w:p>
    <w:p w:rsidR="00483945" w:rsidP="00F02D4B">
      <w:pPr>
        <w:pStyle w:val="NoPaddingFontSize1"/>
      </w:pPr>
    </w:p>
    <w:p w:rsidR="00000000" w:rsidRPr="00F02D4B" w:rsidP="00F02D4B">
      <w:pPr>
        <w:pStyle w:val="Heading1"/>
      </w:pPr>
      <w:bookmarkStart w:id="10" w:name="O_1066477"/>
      <w:bookmarkEnd w:id="10"/>
      <w:r w:rsidRPr="00F02D4B">
        <w:t>Links</w:t>
      </w:r>
    </w:p>
    <w:p w:rsidR="00000000" w:rsidRPr="00F02D4B" w:rsidP="00483945">
      <w:pPr>
        <w:pStyle w:val="BodyText"/>
      </w:pPr>
      <w:r w:rsidRPr="00F02D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78F5">
        <w:rPr>
          <w:rStyle w:val="Hyperlink"/>
        </w:rPr>
        <w:t>https://vetnet.gov.au/Pages/TrainingDocs.aspx?q=df441c6e-213d-43e3-874c-0b3f7036d851</w:t>
      </w:r>
      <w:r>
        <w:fldChar w:fldCharType="end"/>
      </w:r>
    </w:p>
    <w:p w:rsidR="00000000" w:rsidRPr="00F02D4B" w:rsidP="00483945">
      <w:pPr>
        <w:pStyle w:val="BodyText"/>
        <w:sectPr w:rsidSect="00F02D4B">
          <w:headerReference w:type="default" r:id="rId10"/>
          <w:footerReference w:type="default" r:id="rId11"/>
          <w:pgSz w:w="11908" w:h="16833"/>
          <w:pgMar w:top="1702" w:right="1418" w:bottom="1702" w:left="1418" w:header="992" w:footer="992" w:gutter="0"/>
          <w:cols w:space="720"/>
          <w:noEndnote/>
          <w:docGrid w:linePitch="299"/>
        </w:sectPr>
      </w:pPr>
    </w:p>
    <w:p w:rsidR="00000000" w:rsidRPr="00F02D4B" w:rsidP="00F02D4B">
      <w:pPr>
        <w:pStyle w:val="SuperHeading"/>
      </w:pPr>
      <w:r w:rsidRPr="00F02D4B">
        <w:t>Assessment Requirements for TLIX0020X Monitor ethical supply chain practices</w:t>
      </w:r>
    </w:p>
    <w:p w:rsidR="00000000" w:rsidRPr="00F02D4B" w:rsidP="00F02D4B">
      <w:pPr>
        <w:pStyle w:val="Heading1"/>
      </w:pPr>
      <w:bookmarkStart w:id="11" w:name="O_1066472"/>
      <w:bookmarkEnd w:id="11"/>
      <w:r w:rsidRPr="00F02D4B">
        <w:t>Modification History</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rPr>
                <w:rStyle w:val="SpecialBold"/>
              </w:rPr>
              <w:t xml:space="preserve">Release 1. </w:t>
            </w:r>
            <w:r w:rsidRPr="00F02D4B">
              <w:t>This is the first release of this unit of competency in the TLI Transport and Logistics Training Package.</w:t>
            </w:r>
          </w:p>
        </w:tc>
      </w:tr>
    </w:tbl>
    <w:p w:rsidR="00483945" w:rsidP="00F02D4B">
      <w:pPr>
        <w:pStyle w:val="NoPaddingFontSize1"/>
      </w:pPr>
    </w:p>
    <w:p w:rsidR="00483945" w:rsidP="00F02D4B">
      <w:pPr>
        <w:pStyle w:val="NoPaddingFontSize1"/>
      </w:pPr>
    </w:p>
    <w:p w:rsidR="00000000" w:rsidRPr="00F02D4B" w:rsidP="00F02D4B">
      <w:pPr>
        <w:pStyle w:val="Heading1"/>
      </w:pPr>
      <w:bookmarkStart w:id="12" w:name="O_1066473"/>
      <w:bookmarkEnd w:id="12"/>
      <w:r w:rsidRPr="00F02D4B">
        <w:t>Performance Evidence</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Evidence required to demonstrate competence in this unit must be relevant to and satisfy all requirements o</w:t>
            </w:r>
            <w:r w:rsidRPr="00F02D4B">
              <w:t>f the elements and performance criteria on at least one occasion and includes</w:t>
            </w:r>
          </w:p>
        </w:tc>
      </w:tr>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ListBullet"/>
            </w:pPr>
            <w:r w:rsidRPr="00F02D4B">
              <w:t xml:space="preserve">collecting data on ethical practices using approved methods and tools </w:t>
            </w:r>
          </w:p>
          <w:p w:rsidR="00000000" w:rsidRPr="00F02D4B" w:rsidP="00F02D4B">
            <w:pPr>
              <w:pStyle w:val="ListBullet"/>
            </w:pPr>
            <w:r w:rsidRPr="00F02D4B">
              <w:t xml:space="preserve">confirming legislative and regulatory obligations and industry standards </w:t>
            </w:r>
          </w:p>
          <w:p w:rsidR="00000000" w:rsidRPr="00F02D4B" w:rsidP="00F02D4B">
            <w:pPr>
              <w:pStyle w:val="ListBullet"/>
            </w:pPr>
            <w:r w:rsidRPr="00F02D4B">
              <w:t>determining policies and proced</w:t>
            </w:r>
            <w:r w:rsidRPr="00F02D4B">
              <w:t xml:space="preserve">ures to support ethical practices in the supply chain </w:t>
            </w:r>
          </w:p>
          <w:p w:rsidR="00000000" w:rsidRPr="00F02D4B" w:rsidP="00F02D4B">
            <w:pPr>
              <w:pStyle w:val="ListBullet"/>
            </w:pPr>
            <w:r w:rsidRPr="00F02D4B">
              <w:t xml:space="preserve">documenting continuous improvement actions  </w:t>
            </w:r>
          </w:p>
          <w:p w:rsidR="00000000" w:rsidRPr="00F02D4B" w:rsidP="00F02D4B">
            <w:pPr>
              <w:pStyle w:val="ListBullet"/>
            </w:pPr>
            <w:r w:rsidRPr="00F02D4B">
              <w:t>documenting non-compliance and remediation actions related to unethical practices</w:t>
            </w:r>
          </w:p>
          <w:p w:rsidR="00000000" w:rsidRPr="00F02D4B" w:rsidP="00F02D4B">
            <w:pPr>
              <w:pStyle w:val="ListBullet"/>
            </w:pPr>
            <w:r w:rsidRPr="00F02D4B">
              <w:t>evaluating ethical practices against Key Performance Indicators (KPIs)</w:t>
            </w:r>
          </w:p>
          <w:p w:rsidR="00000000" w:rsidRPr="00F02D4B" w:rsidP="00F02D4B">
            <w:pPr>
              <w:pStyle w:val="ListBullet"/>
            </w:pPr>
            <w:r w:rsidRPr="00F02D4B">
              <w:t>following up on whistle blower reports</w:t>
            </w:r>
          </w:p>
          <w:p w:rsidR="00000000" w:rsidRPr="00F02D4B" w:rsidP="00F02D4B">
            <w:pPr>
              <w:pStyle w:val="ListBullet"/>
            </w:pPr>
            <w:r w:rsidRPr="00F02D4B">
              <w:t>identifying and reporting on community expectations for ethical practices</w:t>
            </w:r>
          </w:p>
          <w:p w:rsidR="00000000" w:rsidRPr="00F02D4B" w:rsidP="00F02D4B">
            <w:pPr>
              <w:pStyle w:val="ListBullet"/>
            </w:pPr>
            <w:r w:rsidRPr="00F02D4B">
              <w:t>identifying welfare and sustainability practices in the supply chain</w:t>
            </w:r>
          </w:p>
          <w:p w:rsidR="00000000" w:rsidRPr="00F02D4B" w:rsidP="00F02D4B">
            <w:pPr>
              <w:pStyle w:val="ListBullet"/>
            </w:pPr>
            <w:r w:rsidRPr="00F02D4B">
              <w:t xml:space="preserve">monitoring compliance to supply chain codes of practice </w:t>
            </w:r>
          </w:p>
          <w:p w:rsidR="00000000" w:rsidRPr="00F02D4B" w:rsidP="00F02D4B">
            <w:pPr>
              <w:pStyle w:val="ListBullet"/>
            </w:pPr>
            <w:r w:rsidRPr="00F02D4B">
              <w:t>monitoring produc</w:t>
            </w:r>
            <w:r w:rsidRPr="00F02D4B">
              <w:t xml:space="preserve">t provenance </w:t>
            </w:r>
          </w:p>
          <w:p w:rsidR="00000000" w:rsidRPr="00F02D4B" w:rsidP="00F02D4B">
            <w:pPr>
              <w:pStyle w:val="ListBullet"/>
            </w:pPr>
            <w:r w:rsidRPr="00F02D4B">
              <w:t>monitoring supply chain stakeholders</w:t>
            </w:r>
            <w:r>
              <w:t>’</w:t>
            </w:r>
            <w:r w:rsidRPr="00F02D4B">
              <w:t xml:space="preserve"> integrity using approved methods and tools</w:t>
            </w:r>
          </w:p>
          <w:p w:rsidR="00000000" w:rsidRPr="00F02D4B" w:rsidP="00F02D4B">
            <w:pPr>
              <w:pStyle w:val="ListBullet"/>
            </w:pPr>
            <w:r w:rsidRPr="00F02D4B">
              <w:t>reviewing data about supply chain ethical practices and preparing reports</w:t>
            </w:r>
          </w:p>
          <w:p w:rsidR="00000000" w:rsidRPr="00F02D4B" w:rsidP="00F02D4B">
            <w:pPr>
              <w:pStyle w:val="ListBullet"/>
            </w:pPr>
            <w:r w:rsidRPr="00F02D4B">
              <w:t>verifying KPIs for ethical practice</w:t>
            </w:r>
          </w:p>
          <w:p w:rsidR="00000000" w:rsidRPr="00F02D4B" w:rsidP="00F02D4B">
            <w:pPr>
              <w:pStyle w:val="ListBullet"/>
            </w:pPr>
            <w:r w:rsidRPr="00F02D4B">
              <w:t>working with stakeholders to monitor continuous imp</w:t>
            </w:r>
            <w:r w:rsidRPr="00F02D4B">
              <w:t xml:space="preserve">rovement activities and practices. </w:t>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13" w:name="O_1066474"/>
      <w:bookmarkEnd w:id="13"/>
      <w:r w:rsidRPr="00F02D4B">
        <w:t>Knowledge Evidence</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2D4B">
            <w:pPr>
              <w:pStyle w:val="BodyText"/>
              <w:rPr>
                <w:lang w:val="en-NZ"/>
              </w:rPr>
            </w:pPr>
            <w:r w:rsidRPr="00F02D4B">
              <w:t>Evidence required to demonstrate competence in this unit must be relevant to and satisfy all requirements of the elements and performance criteria and includes knowledge of</w:t>
            </w:r>
          </w:p>
        </w:tc>
      </w:tr>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ListBullet"/>
            </w:pPr>
            <w:r w:rsidRPr="00F02D4B">
              <w:t xml:space="preserve">approved methods and tools for data collection on ethical practices </w:t>
            </w:r>
          </w:p>
          <w:p w:rsidR="00000000" w:rsidRPr="00F02D4B" w:rsidP="00F02D4B">
            <w:pPr>
              <w:pStyle w:val="ListBullet"/>
            </w:pPr>
            <w:r w:rsidRPr="00F02D4B">
              <w:t xml:space="preserve">circular economy principles in relation to addressing ethical sustainability practices in supply chains  </w:t>
            </w:r>
          </w:p>
          <w:p w:rsidR="00000000" w:rsidRPr="00F02D4B" w:rsidP="00F02D4B">
            <w:pPr>
              <w:pStyle w:val="ListBullet"/>
            </w:pPr>
            <w:r w:rsidRPr="00F02D4B">
              <w:t xml:space="preserve">community expectations for ethical practices </w:t>
            </w:r>
          </w:p>
          <w:p w:rsidR="00000000" w:rsidRPr="00F02D4B" w:rsidP="00F02D4B">
            <w:pPr>
              <w:pStyle w:val="ListBullet"/>
            </w:pPr>
            <w:r w:rsidRPr="00F02D4B">
              <w:t>compliance requirements for ethical</w:t>
            </w:r>
            <w:r w:rsidRPr="00F02D4B">
              <w:t xml:space="preserve"> practice in supply chains</w:t>
            </w:r>
          </w:p>
          <w:p w:rsidR="00000000" w:rsidRPr="00F02D4B" w:rsidP="00F02D4B">
            <w:pPr>
              <w:pStyle w:val="ListBullet"/>
            </w:pPr>
            <w:r w:rsidRPr="00F02D4B">
              <w:t xml:space="preserve">continuous improvement principles </w:t>
            </w:r>
          </w:p>
          <w:p w:rsidR="00000000" w:rsidRPr="00F02D4B" w:rsidP="00F02D4B">
            <w:pPr>
              <w:pStyle w:val="ListBullet"/>
            </w:pPr>
            <w:r w:rsidRPr="00F02D4B">
              <w:t>data collection methods and tools</w:t>
            </w:r>
          </w:p>
          <w:p w:rsidR="00000000" w:rsidRPr="00F02D4B" w:rsidP="00F02D4B">
            <w:pPr>
              <w:pStyle w:val="ListBullet"/>
            </w:pPr>
            <w:r w:rsidRPr="00F02D4B">
              <w:tab/>
              <w:t>ethical environmental and sustainability practices</w:t>
            </w:r>
          </w:p>
          <w:p w:rsidR="00000000" w:rsidRPr="00F02D4B" w:rsidP="00F02D4B">
            <w:pPr>
              <w:pStyle w:val="ListBullet"/>
            </w:pPr>
            <w:r w:rsidRPr="00F02D4B">
              <w:t>evaluation methods for assessing ethical practices</w:t>
            </w:r>
          </w:p>
          <w:p w:rsidR="00000000" w:rsidRPr="00F02D4B" w:rsidP="00F02D4B">
            <w:pPr>
              <w:pStyle w:val="ListBullet"/>
            </w:pPr>
            <w:r w:rsidRPr="00F02D4B">
              <w:t>Key Performance Indicators (KPIs) for ethical practice</w:t>
            </w:r>
          </w:p>
          <w:p w:rsidR="00000000" w:rsidRPr="00F02D4B" w:rsidP="00F02D4B">
            <w:pPr>
              <w:pStyle w:val="ListBullet"/>
            </w:pPr>
            <w:r w:rsidRPr="00F02D4B">
              <w:t>le</w:t>
            </w:r>
            <w:r w:rsidRPr="00F02D4B">
              <w:t>gislation and regulatory obligations, industry standards and codes of practice including follow up actions on whistle blower reports</w:t>
            </w:r>
          </w:p>
          <w:p w:rsidR="00000000" w:rsidRPr="00F02D4B" w:rsidP="00F02D4B">
            <w:pPr>
              <w:pStyle w:val="ListBullet"/>
            </w:pPr>
            <w:r w:rsidRPr="00F02D4B">
              <w:t>methods for identifying stakeholder integrity</w:t>
            </w:r>
          </w:p>
          <w:p w:rsidR="00000000" w:rsidRPr="00F02D4B" w:rsidP="00F02D4B">
            <w:pPr>
              <w:pStyle w:val="ListBullet"/>
            </w:pPr>
            <w:r w:rsidRPr="00F02D4B">
              <w:t xml:space="preserve">policies and procedures relevant to supply chain ethical practice  </w:t>
            </w:r>
          </w:p>
          <w:p w:rsidR="00000000" w:rsidRPr="00F02D4B" w:rsidP="00F02D4B">
            <w:pPr>
              <w:pStyle w:val="ListBullet"/>
            </w:pPr>
            <w:r w:rsidRPr="00F02D4B">
              <w:t>product provenance</w:t>
            </w:r>
          </w:p>
          <w:p w:rsidR="00000000" w:rsidRPr="00F02D4B" w:rsidP="00F02D4B">
            <w:pPr>
              <w:pStyle w:val="ListBullet"/>
            </w:pPr>
            <w:r w:rsidRPr="00F02D4B">
              <w:t>review and report requirements</w:t>
            </w:r>
          </w:p>
          <w:p w:rsidR="00000000" w:rsidRPr="00F02D4B" w:rsidP="00F02D4B">
            <w:pPr>
              <w:pStyle w:val="ListBullet"/>
            </w:pPr>
            <w:r w:rsidRPr="00F02D4B">
              <w:t>supply chain stakeholders</w:t>
            </w:r>
          </w:p>
          <w:p w:rsidR="00000000" w:rsidRPr="00F02D4B" w:rsidP="00F02D4B">
            <w:pPr>
              <w:pStyle w:val="ListBullet"/>
            </w:pPr>
            <w:r w:rsidRPr="00F02D4B">
              <w:t xml:space="preserve">sustainability and welfare practices and issues in supply chains </w:t>
            </w:r>
          </w:p>
          <w:p w:rsidR="00000000" w:rsidRPr="00F02D4B" w:rsidP="00F02D4B">
            <w:pPr>
              <w:pStyle w:val="ListBullet"/>
            </w:pPr>
            <w:r w:rsidRPr="00F02D4B">
              <w:t>types of unethical practices in supply chains.</w:t>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14" w:name="O_1066475"/>
      <w:bookmarkEnd w:id="14"/>
      <w:r w:rsidRPr="00F02D4B">
        <w:t>Assessment Conditions</w:t>
      </w:r>
    </w:p>
    <w:tbl>
      <w:tblPr>
        <w:tblW w:w="9497" w:type="dxa"/>
        <w:tblLayout w:type="fixed"/>
        <w:tblCellMar>
          <w:left w:w="62" w:type="dxa"/>
          <w:right w:w="62" w:type="dxa"/>
        </w:tblCellMar>
        <w:tblLook w:val="0000"/>
      </w:tblPr>
      <w:tblGrid>
        <w:gridCol w:w="9497"/>
      </w:tblGrid>
      <w:tr w:rsidTr="00F02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D4B" w:rsidP="00F02D4B">
            <w:pPr>
              <w:pStyle w:val="BodyText"/>
            </w:pPr>
            <w:r w:rsidRPr="00F02D4B">
              <w:t>Assessors must hold cred</w:t>
            </w:r>
            <w:r w:rsidRPr="00F02D4B">
              <w:t xml:space="preserve">entials specified within the Standards for Registered Training Organisations current at the time of assessment. </w:t>
            </w:r>
          </w:p>
          <w:p w:rsidR="00000000" w:rsidRPr="00F02D4B" w:rsidP="00F02D4B">
            <w:pPr>
              <w:pStyle w:val="BodyText"/>
            </w:pPr>
            <w:r w:rsidRPr="00F02D4B">
              <w:t>Assessment must satisfy the Principles of Assessment and Rules of Evidence and all regulatory requirements included within the Standards for Re</w:t>
            </w:r>
            <w:r w:rsidRPr="00F02D4B">
              <w:t>gistered Training Organisations current at the time of assessment.</w:t>
            </w:r>
          </w:p>
          <w:p w:rsidR="00000000" w:rsidRPr="00F02D4B" w:rsidP="00F02D4B">
            <w:pPr>
              <w:pStyle w:val="BodyText"/>
            </w:pPr>
            <w:r w:rsidRPr="00F02D4B">
              <w:t>Assessment must occur in workplace operational situations where it is appropriate to do so. Where this is not appropriate, assessment must occur in simulated workplace operational situation</w:t>
            </w:r>
            <w:r w:rsidRPr="00F02D4B">
              <w:t>s that replicate workplace conditions.</w:t>
            </w:r>
          </w:p>
          <w:p w:rsidR="00000000" w:rsidRPr="00F02D4B" w:rsidP="00F02D4B">
            <w:pPr>
              <w:pStyle w:val="BodyText"/>
            </w:pPr>
            <w:r w:rsidRPr="00F02D4B">
              <w:t>Assessment processes and techniques must be appropriate to the language, literacy and numeracy requirements of the work being performed and the needs of the candidate.</w:t>
            </w:r>
          </w:p>
          <w:p w:rsidR="00000000" w:rsidRPr="00F02D4B" w:rsidP="00F02D4B">
            <w:pPr>
              <w:pStyle w:val="BodyText"/>
            </w:pPr>
            <w:r w:rsidRPr="00F02D4B">
              <w:t>Resources for assessment must include access to a range of</w:t>
            </w:r>
          </w:p>
          <w:p w:rsidR="00000000" w:rsidRPr="00F02D4B" w:rsidP="00F02D4B">
            <w:pPr>
              <w:pStyle w:val="ListBullet"/>
            </w:pPr>
            <w:r w:rsidRPr="00F02D4B">
              <w:t>exercises, case studies or simulations</w:t>
            </w:r>
          </w:p>
          <w:p w:rsidR="00000000" w:rsidRPr="00F02D4B" w:rsidP="00F02D4B">
            <w:pPr>
              <w:pStyle w:val="ListBullet"/>
            </w:pPr>
            <w:r w:rsidRPr="00F02D4B">
              <w:t>materials, tools and digital supply chain equipment used in industry</w:t>
            </w:r>
          </w:p>
          <w:p w:rsidR="00000000" w:rsidRPr="00F02D4B" w:rsidP="00F02D4B">
            <w:pPr>
              <w:pStyle w:val="ListBullet"/>
            </w:pPr>
            <w:r w:rsidRPr="00F02D4B">
              <w:t>documentation including organisational policies and procedures, industry standards, legi</w:t>
            </w:r>
            <w:r w:rsidRPr="00F02D4B">
              <w:t>slation, regulations, codes of practice, operational manuals and equipment specifications.</w:t>
            </w:r>
            <w:r w:rsidRPr="00F02D4B">
              <w:tab/>
            </w:r>
          </w:p>
        </w:tc>
      </w:tr>
    </w:tbl>
    <w:p w:rsidR="00000000" w:rsidRPr="00F02D4B" w:rsidP="00F02D4B">
      <w:pPr>
        <w:pStyle w:val="NoPaddingFontSize1"/>
      </w:pPr>
    </w:p>
    <w:p w:rsidR="00000000" w:rsidRPr="00F02D4B" w:rsidP="00F02D4B">
      <w:pPr>
        <w:pStyle w:val="AllowPageBreak"/>
      </w:pPr>
    </w:p>
    <w:p w:rsidR="00000000" w:rsidRPr="00F02D4B" w:rsidP="00F02D4B">
      <w:pPr>
        <w:pStyle w:val="Heading1"/>
      </w:pPr>
      <w:bookmarkStart w:id="15" w:name="O_1066478"/>
      <w:bookmarkEnd w:id="15"/>
      <w:r w:rsidRPr="00F02D4B">
        <w:t>Links</w:t>
      </w:r>
    </w:p>
    <w:p w:rsidR="00000000" w:rsidRPr="00F02D4B" w:rsidP="00483945">
      <w:pPr>
        <w:pStyle w:val="BodyText"/>
      </w:pPr>
      <w:r w:rsidRPr="00F02D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78F5">
        <w:rPr>
          <w:rStyle w:val="Hyperlink"/>
        </w:rPr>
        <w:t>https://vetnet.gov.au/Pages/TrainingDocs.aspx?q=df441c6e-213d-43e3-874c-0b3f7036d851</w:t>
      </w:r>
      <w:r>
        <w:fldChar w:fldCharType="end"/>
      </w:r>
    </w:p>
    <w:p w:rsidR="00000000" w:rsidRPr="00F02D4B" w:rsidP="00F02D4B"/>
    <w:sectPr w:rsidSect="00F02D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rsidRPr="00483945" w:rsidP="004839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45" w:rsidP="00F02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945" w:rsidP="00F02D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83945" w:rsidP="00F02D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rsidP="00F02D4B">
    <w:pPr>
      <w:pStyle w:val="Footer"/>
      <w:framePr w:wrap="around"/>
    </w:pPr>
    <w:r>
      <w:fldChar w:fldCharType="begin"/>
    </w:r>
    <w:r>
      <w:instrText xml:space="preserve"> DOCPROPERTY  Subject  \* MERGEFORMAT </w:instrText>
    </w:r>
    <w:r>
      <w:fldChar w:fldCharType="separate"/>
    </w:r>
    <w:r w:rsidR="00483945">
      <w:t>Approved</w:t>
    </w:r>
    <w:r w:rsidR="00483945">
      <w:fldChar w:fldCharType="end"/>
    </w:r>
    <w:r>
      <w:tab/>
      <w:t xml:space="preserve">Page </w:t>
    </w:r>
    <w:r>
      <w:fldChar w:fldCharType="begin"/>
    </w:r>
    <w:r>
      <w:instrText xml:space="preserve"> PAGE  \* Arabic  \* MERGEFORMAT </w:instrText>
    </w:r>
    <w:r>
      <w:fldChar w:fldCharType="separate"/>
    </w:r>
    <w:r w:rsidR="004839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945">
      <w:rPr>
        <w:noProof/>
      </w:rPr>
      <w:t>4</w:t>
    </w:r>
    <w:r>
      <w:rPr>
        <w:noProof/>
      </w:rPr>
      <w:fldChar w:fldCharType="end"/>
    </w:r>
  </w:p>
  <w:p w:rsidR="00F02D4B" w:rsidP="00F02D4B">
    <w:pPr>
      <w:pStyle w:val="Footer"/>
      <w:framePr w:wrap="around"/>
    </w:pPr>
    <w:r>
      <w:t xml:space="preserve">© Commonwealth of Australia, </w:t>
    </w:r>
    <w:r>
      <w:fldChar w:fldCharType="begin"/>
    </w:r>
    <w:r>
      <w:instrText xml:space="preserve"> DATE  \@ "yyyy"  \* MERGEFORMAT </w:instrText>
    </w:r>
    <w:r>
      <w:fldChar w:fldCharType="separate"/>
    </w:r>
    <w:r w:rsidR="00483945">
      <w:rPr>
        <w:noProof/>
      </w:rPr>
      <w:t>2025</w:t>
    </w:r>
    <w:r>
      <w:fldChar w:fldCharType="end"/>
    </w:r>
    <w:r>
      <w:tab/>
    </w:r>
    <w:r>
      <w:fldChar w:fldCharType="begin"/>
    </w:r>
    <w:r>
      <w:instrText xml:space="preserve"> DOCPROPERTY  Author  \* MERGEFORMAT </w:instrText>
    </w:r>
    <w:r>
      <w:fldChar w:fldCharType="separate"/>
    </w:r>
    <w:r w:rsidR="00483945">
      <w:t>Industry Skills Australia</w:t>
    </w:r>
    <w:r w:rsidR="00483945">
      <w:fldChar w:fldCharType="end"/>
    </w:r>
  </w:p>
  <w:p w:rsidR="00F02D4B" w:rsidP="00F02D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D4B" w:rsidRPr="00483945" w:rsidP="004839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945" w:rsidRPr="002D2AF8" w:rsidP="00F02D4B">
    <w:pPr>
      <w:pStyle w:val="Header"/>
      <w:framePr w:wrap="around"/>
    </w:pPr>
    <w:r>
      <w:fldChar w:fldCharType="begin"/>
    </w:r>
    <w:r>
      <w:instrText xml:space="preserve"> TITLE   \* MERGEFORMAT </w:instrText>
    </w:r>
    <w:r>
      <w:fldChar w:fldCharType="separate"/>
    </w:r>
    <w:r>
      <w:t>TLIX0020X Monitor ethical supply chain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945" w:rsidP="00F02D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4B" w:rsidRPr="002D2AF8" w:rsidP="00F02D4B">
    <w:pPr>
      <w:pStyle w:val="Header"/>
      <w:framePr w:wrap="around"/>
    </w:pPr>
    <w:r>
      <w:fldChar w:fldCharType="begin"/>
    </w:r>
    <w:r>
      <w:instrText xml:space="preserve"> TITLE   \* MERGEFORMAT </w:instrText>
    </w:r>
    <w:r>
      <w:fldChar w:fldCharType="separate"/>
    </w:r>
    <w:r w:rsidR="00483945">
      <w:t>TLIX0020X Monitor ethical supply chain practices</w:t>
    </w:r>
    <w:r w:rsidR="00483945">
      <w:fldChar w:fldCharType="end"/>
    </w:r>
    <w:r>
      <w:tab/>
      <w:t xml:space="preserve">Date this document was generated: </w:t>
    </w:r>
    <w:r>
      <w:fldChar w:fldCharType="begin"/>
    </w:r>
    <w:r>
      <w:instrText xml:space="preserve"> CREATEDATE  \@ "d MMMM yyyy"  \* MERGEFORMAT </w:instrText>
    </w:r>
    <w:r>
      <w:fldChar w:fldCharType="separate"/>
    </w:r>
    <w:r w:rsidR="00483945">
      <w:rPr>
        <w:noProof/>
      </w:rPr>
      <w:t>2 March 2025</w:t>
    </w:r>
    <w:r>
      <w:fldChar w:fldCharType="end"/>
    </w:r>
  </w:p>
  <w:p w:rsidR="00F02D4B" w:rsidP="00F02D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8C4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7C9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D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D4B"/>
    <w:pPr>
      <w:spacing w:before="360" w:after="60"/>
      <w:outlineLvl w:val="0"/>
    </w:pPr>
    <w:rPr>
      <w:sz w:val="32"/>
    </w:rPr>
  </w:style>
  <w:style w:type="paragraph" w:styleId="Heading2">
    <w:name w:val="heading 2"/>
    <w:basedOn w:val="HeadingBase"/>
    <w:next w:val="BodyText"/>
    <w:link w:val="Heading2Char"/>
    <w:qFormat/>
    <w:rsid w:val="00F02D4B"/>
    <w:pPr>
      <w:keepLines/>
      <w:spacing w:before="240" w:after="120"/>
      <w:outlineLvl w:val="1"/>
    </w:pPr>
    <w:rPr>
      <w:sz w:val="28"/>
      <w:szCs w:val="40"/>
    </w:rPr>
  </w:style>
  <w:style w:type="paragraph" w:styleId="Heading3">
    <w:name w:val="heading 3"/>
    <w:basedOn w:val="HeadingBase"/>
    <w:next w:val="BodyText"/>
    <w:link w:val="Heading3Char"/>
    <w:qFormat/>
    <w:rsid w:val="00F02D4B"/>
    <w:pPr>
      <w:spacing w:before="180" w:after="120"/>
      <w:outlineLvl w:val="2"/>
    </w:pPr>
    <w:rPr>
      <w:spacing w:val="-10"/>
      <w:kern w:val="32"/>
    </w:rPr>
  </w:style>
  <w:style w:type="paragraph" w:styleId="Heading4">
    <w:name w:val="heading 4"/>
    <w:basedOn w:val="HeadingBase"/>
    <w:next w:val="BodyText"/>
    <w:link w:val="Heading4Char"/>
    <w:qFormat/>
    <w:rsid w:val="00F02D4B"/>
    <w:pPr>
      <w:spacing w:before="160" w:after="120"/>
      <w:outlineLvl w:val="3"/>
    </w:pPr>
    <w:rPr>
      <w:sz w:val="22"/>
    </w:rPr>
  </w:style>
  <w:style w:type="paragraph" w:styleId="Heading5">
    <w:name w:val="heading 5"/>
    <w:basedOn w:val="HeadingBase"/>
    <w:next w:val="Normal"/>
    <w:link w:val="Heading5Char"/>
    <w:qFormat/>
    <w:rsid w:val="00F02D4B"/>
    <w:pPr>
      <w:spacing w:before="80"/>
      <w:outlineLvl w:val="4"/>
    </w:pPr>
    <w:rPr>
      <w:color w:val="918585"/>
      <w:sz w:val="20"/>
    </w:rPr>
  </w:style>
  <w:style w:type="paragraph" w:styleId="Heading6">
    <w:name w:val="heading 6"/>
    <w:basedOn w:val="HeadingBase"/>
    <w:next w:val="Normal"/>
    <w:link w:val="Heading6Char"/>
    <w:qFormat/>
    <w:rsid w:val="00F02D4B"/>
    <w:pPr>
      <w:spacing w:before="60"/>
      <w:outlineLvl w:val="5"/>
    </w:pPr>
    <w:rPr>
      <w:color w:val="918585"/>
      <w:sz w:val="20"/>
    </w:rPr>
  </w:style>
  <w:style w:type="paragraph" w:styleId="Heading7">
    <w:name w:val="heading 7"/>
    <w:basedOn w:val="Normal"/>
    <w:next w:val="Normal"/>
    <w:link w:val="Heading7Char"/>
    <w:qFormat/>
    <w:rsid w:val="00F02D4B"/>
    <w:pPr>
      <w:ind w:left="720"/>
      <w:outlineLvl w:val="6"/>
    </w:pPr>
    <w:rPr>
      <w:i/>
    </w:rPr>
  </w:style>
  <w:style w:type="paragraph" w:styleId="Heading8">
    <w:name w:val="heading 8"/>
    <w:basedOn w:val="Normal"/>
    <w:next w:val="Normal"/>
    <w:link w:val="Heading8Char"/>
    <w:qFormat/>
    <w:rsid w:val="00F02D4B"/>
    <w:pPr>
      <w:ind w:left="720"/>
      <w:outlineLvl w:val="7"/>
    </w:pPr>
    <w:rPr>
      <w:i/>
    </w:rPr>
  </w:style>
  <w:style w:type="paragraph" w:styleId="Heading9">
    <w:name w:val="heading 9"/>
    <w:basedOn w:val="Normal"/>
    <w:next w:val="Normal"/>
    <w:link w:val="Heading9Char"/>
    <w:qFormat/>
    <w:rsid w:val="00F02D4B"/>
    <w:pPr>
      <w:ind w:left="720"/>
      <w:outlineLvl w:val="8"/>
    </w:pPr>
    <w:rPr>
      <w:i/>
    </w:rPr>
  </w:style>
  <w:style w:type="character" w:default="1" w:styleId="DefaultParagraphFont">
    <w:name w:val="Default Paragraph Font"/>
    <w:uiPriority w:val="1"/>
    <w:unhideWhenUsed/>
    <w:rsid w:val="00F02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D4B"/>
  </w:style>
  <w:style w:type="character" w:customStyle="1" w:styleId="Heading1Char">
    <w:name w:val="Heading 1 Char"/>
    <w:basedOn w:val="DefaultParagraphFont"/>
    <w:link w:val="Heading1"/>
    <w:rsid w:val="00F02D4B"/>
    <w:rPr>
      <w:rFonts w:ascii="Times New Roman" w:eastAsia="Times New Roman" w:hAnsi="Times New Roman" w:cs="Times New Roman"/>
      <w:b/>
      <w:sz w:val="32"/>
      <w:szCs w:val="20"/>
      <w:lang w:eastAsia="en-US"/>
    </w:rPr>
  </w:style>
  <w:style w:type="paragraph" w:styleId="BodyText">
    <w:name w:val="Body Text"/>
    <w:basedOn w:val="Normal"/>
    <w:link w:val="BodyTextChar"/>
    <w:rsid w:val="00F02D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D4B"/>
    <w:rPr>
      <w:rFonts w:ascii="Times New Roman" w:eastAsia="Times New Roman" w:hAnsi="Times New Roman" w:cs="Times New Roman"/>
      <w:sz w:val="24"/>
      <w:lang w:eastAsia="en-US"/>
    </w:rPr>
  </w:style>
  <w:style w:type="paragraph" w:styleId="ListBullet">
    <w:name w:val="List Bullet"/>
    <w:basedOn w:val="List"/>
    <w:rsid w:val="00F02D4B"/>
    <w:pPr>
      <w:numPr>
        <w:numId w:val="11"/>
      </w:numPr>
      <w:tabs>
        <w:tab w:val="clear" w:pos="340"/>
      </w:tabs>
      <w:spacing w:before="40" w:after="40"/>
    </w:pPr>
  </w:style>
  <w:style w:type="character" w:customStyle="1" w:styleId="SpecialBold">
    <w:name w:val="Special Bold"/>
    <w:basedOn w:val="DefaultParagraphFont"/>
    <w:rsid w:val="00F02D4B"/>
    <w:rPr>
      <w:b/>
      <w:spacing w:val="0"/>
    </w:rPr>
  </w:style>
  <w:style w:type="paragraph" w:customStyle="1" w:styleId="SuperHeading">
    <w:name w:val="SuperHeading"/>
    <w:basedOn w:val="Normal"/>
    <w:rsid w:val="00F02D4B"/>
    <w:pPr>
      <w:spacing w:before="240" w:after="120"/>
      <w:outlineLvl w:val="0"/>
    </w:pPr>
    <w:rPr>
      <w:rFonts w:ascii="Times New Roman" w:hAnsi="Times New Roman"/>
      <w:b/>
      <w:sz w:val="32"/>
    </w:rPr>
  </w:style>
  <w:style w:type="paragraph" w:customStyle="1" w:styleId="AllowPageBreak">
    <w:name w:val="AllowPageBreak"/>
    <w:rsid w:val="00F02D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2D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D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D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D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D4B"/>
    <w:rPr>
      <w:rFonts w:ascii="Courier New" w:eastAsia="Times New Roman" w:hAnsi="Courier New" w:cs="Times New Roman"/>
      <w:i/>
      <w:szCs w:val="20"/>
      <w:lang w:eastAsia="en-US"/>
    </w:rPr>
  </w:style>
  <w:style w:type="paragraph" w:customStyle="1" w:styleId="HeadingBase">
    <w:name w:val="Heading Base"/>
    <w:rsid w:val="00F02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D4B"/>
    <w:pPr>
      <w:tabs>
        <w:tab w:val="right" w:leader="dot" w:pos="9072"/>
      </w:tabs>
      <w:ind w:left="567"/>
    </w:pPr>
    <w:rPr>
      <w:szCs w:val="22"/>
    </w:rPr>
  </w:style>
  <w:style w:type="paragraph" w:customStyle="1" w:styleId="TOCBase">
    <w:name w:val="TOC Base"/>
    <w:rsid w:val="00F02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D4B"/>
    <w:pPr>
      <w:tabs>
        <w:tab w:val="right" w:leader="dot" w:pos="9072"/>
      </w:tabs>
      <w:spacing w:before="40" w:after="40"/>
      <w:ind w:left="284"/>
    </w:pPr>
    <w:rPr>
      <w:rFonts w:ascii="Times New Roman" w:hAnsi="Times New Roman"/>
    </w:rPr>
  </w:style>
  <w:style w:type="paragraph" w:styleId="TOC1">
    <w:name w:val="toc 1"/>
    <w:basedOn w:val="TOCBase"/>
    <w:next w:val="Normal"/>
    <w:rsid w:val="00F02D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D4B"/>
    <w:rPr>
      <w:rFonts w:ascii="Times New Roman" w:eastAsia="Times New Roman" w:hAnsi="Times New Roman" w:cs="Times New Roman"/>
      <w:sz w:val="16"/>
      <w:lang w:eastAsia="en-US"/>
    </w:rPr>
  </w:style>
  <w:style w:type="paragraph" w:styleId="Title">
    <w:name w:val="Title"/>
    <w:basedOn w:val="HeadingBase"/>
    <w:link w:val="TitleChar"/>
    <w:qFormat/>
    <w:rsid w:val="00F02D4B"/>
    <w:pPr>
      <w:spacing w:before="5040"/>
      <w:jc w:val="center"/>
    </w:pPr>
    <w:rPr>
      <w:sz w:val="48"/>
      <w:szCs w:val="72"/>
      <w:lang w:val="en-US"/>
    </w:rPr>
  </w:style>
  <w:style w:type="character" w:customStyle="1" w:styleId="TitleChar">
    <w:name w:val="Title Char"/>
    <w:basedOn w:val="DefaultParagraphFont"/>
    <w:link w:val="Title"/>
    <w:rsid w:val="00F02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D4B"/>
    <w:pPr>
      <w:tabs>
        <w:tab w:val="left" w:pos="3600"/>
        <w:tab w:val="left" w:pos="3958"/>
      </w:tabs>
    </w:pPr>
  </w:style>
  <w:style w:type="paragraph" w:styleId="List">
    <w:name w:val="List"/>
    <w:basedOn w:val="BodyText"/>
    <w:next w:val="BodyText"/>
    <w:rsid w:val="00F02D4B"/>
    <w:pPr>
      <w:tabs>
        <w:tab w:val="left" w:pos="340"/>
      </w:tabs>
      <w:spacing w:before="60" w:after="60"/>
      <w:ind w:left="340" w:hanging="340"/>
    </w:pPr>
  </w:style>
  <w:style w:type="paragraph" w:customStyle="1" w:styleId="Note">
    <w:name w:val="Note"/>
    <w:basedOn w:val="BodyText"/>
    <w:rsid w:val="00F02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D4B"/>
    <w:pPr>
      <w:framePr w:wrap="auto" w:hAnchor="text" w:y="6049"/>
    </w:pPr>
    <w:rPr>
      <w:color w:val="000000"/>
      <w:sz w:val="40"/>
    </w:rPr>
  </w:style>
  <w:style w:type="paragraph" w:customStyle="1" w:styleId="TOCTitle">
    <w:name w:val="TOCTitle"/>
    <w:basedOn w:val="Heading1"/>
    <w:rsid w:val="00F02D4B"/>
    <w:pPr>
      <w:spacing w:after="240"/>
      <w:jc w:val="center"/>
      <w:outlineLvl w:val="9"/>
    </w:pPr>
    <w:rPr>
      <w:caps/>
    </w:rPr>
  </w:style>
  <w:style w:type="paragraph" w:customStyle="1" w:styleId="Version">
    <w:name w:val="Version"/>
    <w:rsid w:val="00F02D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D4B"/>
    <w:pPr>
      <w:numPr>
        <w:numId w:val="12"/>
      </w:numPr>
      <w:tabs>
        <w:tab w:val="clear" w:pos="680"/>
      </w:tabs>
    </w:pPr>
  </w:style>
  <w:style w:type="paragraph" w:styleId="Index1">
    <w:name w:val="index 1"/>
    <w:basedOn w:val="Normal"/>
    <w:next w:val="Normal"/>
    <w:semiHidden/>
    <w:rsid w:val="00F02D4B"/>
    <w:pPr>
      <w:keepNext w:val="0"/>
      <w:tabs>
        <w:tab w:val="right" w:pos="4176"/>
      </w:tabs>
      <w:ind w:left="198" w:hanging="198"/>
    </w:pPr>
    <w:rPr>
      <w:rFonts w:ascii="Garamond" w:hAnsi="Garamond"/>
    </w:rPr>
  </w:style>
  <w:style w:type="paragraph" w:styleId="IndexHeading">
    <w:name w:val="index heading"/>
    <w:basedOn w:val="Normal"/>
    <w:next w:val="Index1"/>
    <w:semiHidden/>
    <w:rsid w:val="00F02D4B"/>
    <w:pPr>
      <w:spacing w:before="120" w:after="120"/>
    </w:pPr>
    <w:rPr>
      <w:rFonts w:ascii="Arial" w:hAnsi="Arial"/>
      <w:b/>
      <w:color w:val="918585"/>
      <w:sz w:val="24"/>
    </w:rPr>
  </w:style>
  <w:style w:type="paragraph" w:styleId="Header">
    <w:name w:val="header"/>
    <w:basedOn w:val="Normal"/>
    <w:link w:val="HeaderChar"/>
    <w:rsid w:val="00F02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D4B"/>
    <w:rPr>
      <w:rFonts w:ascii="Times New Roman" w:eastAsia="Times New Roman" w:hAnsi="Times New Roman" w:cs="Times New Roman"/>
      <w:sz w:val="16"/>
      <w:szCs w:val="20"/>
      <w:lang w:val="en-GB" w:eastAsia="en-US"/>
    </w:rPr>
  </w:style>
  <w:style w:type="paragraph" w:customStyle="1" w:styleId="Chapter">
    <w:name w:val="Chapter"/>
    <w:basedOn w:val="Normal"/>
    <w:rsid w:val="00F02D4B"/>
    <w:pPr>
      <w:spacing w:before="240"/>
    </w:pPr>
    <w:rPr>
      <w:rFonts w:ascii="Times New Roman" w:hAnsi="Times New Roman"/>
      <w:smallCaps/>
      <w:spacing w:val="80"/>
      <w:sz w:val="28"/>
    </w:rPr>
  </w:style>
  <w:style w:type="paragraph" w:customStyle="1" w:styleId="InChapter">
    <w:name w:val="InChapter"/>
    <w:basedOn w:val="Heading3"/>
    <w:rsid w:val="00F02D4B"/>
    <w:pPr>
      <w:spacing w:after="240"/>
      <w:outlineLvl w:val="9"/>
    </w:pPr>
    <w:rPr>
      <w:noProof/>
    </w:rPr>
  </w:style>
  <w:style w:type="paragraph" w:styleId="Index2">
    <w:name w:val="index 2"/>
    <w:basedOn w:val="Normal"/>
    <w:next w:val="Normal"/>
    <w:semiHidden/>
    <w:rsid w:val="00F02D4B"/>
    <w:pPr>
      <w:tabs>
        <w:tab w:val="right" w:pos="4176"/>
      </w:tabs>
      <w:ind w:left="568" w:hanging="284"/>
    </w:pPr>
    <w:rPr>
      <w:rFonts w:ascii="Garamond" w:hAnsi="Garamond"/>
    </w:rPr>
  </w:style>
  <w:style w:type="paragraph" w:customStyle="1" w:styleId="Byline">
    <w:name w:val="Byline"/>
    <w:rsid w:val="00F02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D4B"/>
    <w:pPr>
      <w:tabs>
        <w:tab w:val="clear" w:pos="3600"/>
        <w:tab w:val="clear" w:pos="3958"/>
      </w:tabs>
      <w:jc w:val="right"/>
    </w:pPr>
  </w:style>
  <w:style w:type="character" w:styleId="Emphasis">
    <w:name w:val="Emphasis"/>
    <w:basedOn w:val="DefaultParagraphFont"/>
    <w:qFormat/>
    <w:rsid w:val="00F02D4B"/>
    <w:rPr>
      <w:i/>
    </w:rPr>
  </w:style>
  <w:style w:type="paragraph" w:styleId="Caption">
    <w:name w:val="caption"/>
    <w:basedOn w:val="BodyText"/>
    <w:next w:val="Normal"/>
    <w:qFormat/>
    <w:rsid w:val="00F02D4B"/>
    <w:pPr>
      <w:framePr w:w="2268" w:hSpace="181" w:vSpace="181" w:wrap="around" w:vAnchor="text" w:hAnchor="page" w:x="1135" w:y="285" w:anchorLock="1"/>
    </w:pPr>
    <w:rPr>
      <w:i/>
    </w:rPr>
  </w:style>
  <w:style w:type="paragraph" w:customStyle="1" w:styleId="MiniTOCTitle">
    <w:name w:val="MiniTOCTitle"/>
    <w:basedOn w:val="Heading4"/>
    <w:rsid w:val="00F02D4B"/>
    <w:pPr>
      <w:spacing w:before="240"/>
      <w:outlineLvl w:val="9"/>
    </w:pPr>
    <w:rPr>
      <w:noProof/>
      <w:sz w:val="24"/>
    </w:rPr>
  </w:style>
  <w:style w:type="paragraph" w:customStyle="1" w:styleId="MiniTOCItem">
    <w:name w:val="MiniTOCItem"/>
    <w:basedOn w:val="ListBullet"/>
    <w:rsid w:val="00F02D4B"/>
    <w:pPr>
      <w:numPr>
        <w:numId w:val="0"/>
      </w:numPr>
      <w:tabs>
        <w:tab w:val="right" w:leader="dot" w:pos="6521"/>
      </w:tabs>
      <w:spacing w:before="0" w:after="0"/>
    </w:pPr>
  </w:style>
  <w:style w:type="paragraph" w:customStyle="1" w:styleId="TOFTitle">
    <w:name w:val="TOFTitle"/>
    <w:basedOn w:val="TOCTitle"/>
    <w:rsid w:val="00F02D4B"/>
  </w:style>
  <w:style w:type="paragraph" w:styleId="TableofFigures">
    <w:name w:val="table of figures"/>
    <w:basedOn w:val="Normal"/>
    <w:next w:val="Normal"/>
    <w:semiHidden/>
    <w:rsid w:val="00F02D4B"/>
    <w:pPr>
      <w:tabs>
        <w:tab w:val="right" w:leader="dot" w:pos="9072"/>
      </w:tabs>
      <w:ind w:left="970" w:hanging="403"/>
    </w:pPr>
    <w:rPr>
      <w:rFonts w:ascii="Times New Roman" w:hAnsi="Times New Roman"/>
      <w:b/>
    </w:rPr>
  </w:style>
  <w:style w:type="paragraph" w:styleId="ListNumber">
    <w:name w:val="List Number"/>
    <w:basedOn w:val="List"/>
    <w:rsid w:val="00F02D4B"/>
    <w:pPr>
      <w:numPr>
        <w:numId w:val="14"/>
      </w:numPr>
      <w:tabs>
        <w:tab w:val="clear" w:pos="340"/>
      </w:tabs>
    </w:pPr>
  </w:style>
  <w:style w:type="character" w:customStyle="1" w:styleId="WingdingSymbols">
    <w:name w:val="Wingding Symbols"/>
    <w:rsid w:val="00F02D4B"/>
    <w:rPr>
      <w:rFonts w:ascii="Wingdings" w:hAnsi="Wingdings"/>
    </w:rPr>
  </w:style>
  <w:style w:type="paragraph" w:customStyle="1" w:styleId="TableHeading">
    <w:name w:val="Table Heading"/>
    <w:basedOn w:val="HeadingBase"/>
    <w:rsid w:val="00F02D4B"/>
    <w:pPr>
      <w:keepLines/>
      <w:pBdr>
        <w:bottom w:val="single" w:sz="6" w:space="1" w:color="918585"/>
      </w:pBdr>
      <w:spacing w:before="240"/>
    </w:pPr>
  </w:style>
  <w:style w:type="character" w:customStyle="1" w:styleId="HotSpot">
    <w:name w:val="HotSpot"/>
    <w:rsid w:val="00F02D4B"/>
    <w:rPr>
      <w:color w:val="0033CC"/>
      <w:u w:val="none"/>
    </w:rPr>
  </w:style>
  <w:style w:type="paragraph" w:customStyle="1" w:styleId="BodyTextRight">
    <w:name w:val="Body Text Right"/>
    <w:basedOn w:val="BodyText"/>
    <w:rsid w:val="00F02D4B"/>
    <w:pPr>
      <w:spacing w:before="0" w:after="0"/>
      <w:jc w:val="right"/>
    </w:pPr>
  </w:style>
  <w:style w:type="paragraph" w:styleId="Index3">
    <w:name w:val="index 3"/>
    <w:basedOn w:val="ListNumber2"/>
    <w:next w:val="Normal"/>
    <w:semiHidden/>
    <w:rsid w:val="00F02D4B"/>
    <w:pPr>
      <w:numPr>
        <w:numId w:val="0"/>
      </w:numPr>
      <w:tabs>
        <w:tab w:val="right" w:leader="dot" w:pos="4176"/>
      </w:tabs>
    </w:pPr>
  </w:style>
  <w:style w:type="paragraph" w:styleId="ListNumber2">
    <w:name w:val="List Number 2"/>
    <w:basedOn w:val="List2"/>
    <w:rsid w:val="00F02D4B"/>
    <w:pPr>
      <w:numPr>
        <w:numId w:val="9"/>
      </w:numPr>
      <w:tabs>
        <w:tab w:val="clear" w:pos="1060"/>
      </w:tabs>
    </w:pPr>
  </w:style>
  <w:style w:type="paragraph" w:customStyle="1" w:styleId="MarginNote">
    <w:name w:val="Margin Note"/>
    <w:basedOn w:val="BodyText"/>
    <w:rsid w:val="00F02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D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D4B"/>
    <w:rPr>
      <w:sz w:val="32"/>
    </w:rPr>
  </w:style>
  <w:style w:type="paragraph" w:customStyle="1" w:styleId="HeadingProcedure">
    <w:name w:val="Heading Procedure"/>
    <w:basedOn w:val="HeadingBase"/>
    <w:next w:val="Normal"/>
    <w:rsid w:val="00F02D4B"/>
    <w:pPr>
      <w:tabs>
        <w:tab w:val="left" w:pos="0"/>
      </w:tabs>
      <w:spacing w:before="120" w:after="60"/>
    </w:pPr>
    <w:rPr>
      <w:i/>
      <w:color w:val="918585"/>
      <w:sz w:val="22"/>
    </w:rPr>
  </w:style>
  <w:style w:type="paragraph" w:customStyle="1" w:styleId="TableBodyText">
    <w:name w:val="Table Body Text"/>
    <w:basedOn w:val="BodyText"/>
    <w:rsid w:val="00F02D4B"/>
    <w:pPr>
      <w:spacing w:before="60" w:after="60"/>
    </w:pPr>
  </w:style>
  <w:style w:type="paragraph" w:styleId="ListContinue">
    <w:name w:val="List Continue"/>
    <w:basedOn w:val="List"/>
    <w:rsid w:val="00F02D4B"/>
    <w:pPr>
      <w:ind w:firstLine="0"/>
    </w:pPr>
  </w:style>
  <w:style w:type="paragraph" w:customStyle="1" w:styleId="ListNote">
    <w:name w:val="List Note"/>
    <w:basedOn w:val="List"/>
    <w:rsid w:val="00F02D4B"/>
    <w:pPr>
      <w:pBdr>
        <w:top w:val="single" w:sz="6" w:space="2" w:color="918585"/>
        <w:bottom w:val="single" w:sz="6" w:space="2" w:color="918585"/>
      </w:pBdr>
      <w:tabs>
        <w:tab w:val="left" w:pos="1021"/>
      </w:tabs>
      <w:ind w:firstLine="0"/>
    </w:pPr>
  </w:style>
  <w:style w:type="paragraph" w:customStyle="1" w:styleId="Warning">
    <w:name w:val="Warning"/>
    <w:basedOn w:val="BodyText"/>
    <w:rsid w:val="00F02D4B"/>
    <w:pPr>
      <w:shd w:val="clear" w:color="auto" w:fill="D9D9D9"/>
      <w:tabs>
        <w:tab w:val="left" w:pos="992"/>
      </w:tabs>
      <w:ind w:left="119" w:right="119"/>
    </w:pPr>
    <w:rPr>
      <w:sz w:val="20"/>
    </w:rPr>
  </w:style>
  <w:style w:type="paragraph" w:customStyle="1" w:styleId="MarginIcons">
    <w:name w:val="Margin Icons"/>
    <w:basedOn w:val="BodyText"/>
    <w:rsid w:val="00F02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D4B"/>
    <w:rPr>
      <w:rFonts w:ascii="Courier New" w:hAnsi="Courier New"/>
    </w:rPr>
  </w:style>
  <w:style w:type="paragraph" w:customStyle="1" w:styleId="NoteBullet">
    <w:name w:val="Note Bullet"/>
    <w:basedOn w:val="Note"/>
    <w:rsid w:val="00F02D4B"/>
    <w:pPr>
      <w:tabs>
        <w:tab w:val="clear" w:pos="680"/>
      </w:tabs>
      <w:spacing w:before="60" w:after="60"/>
    </w:pPr>
  </w:style>
  <w:style w:type="paragraph" w:customStyle="1" w:styleId="SubHeading2">
    <w:name w:val="SubHeading2"/>
    <w:basedOn w:val="HeadingBase"/>
    <w:rsid w:val="00F02D4B"/>
    <w:pPr>
      <w:spacing w:before="240" w:after="60"/>
    </w:pPr>
    <w:rPr>
      <w:sz w:val="20"/>
    </w:rPr>
  </w:style>
  <w:style w:type="paragraph" w:customStyle="1" w:styleId="SubHeading1">
    <w:name w:val="SubHeading1"/>
    <w:basedOn w:val="HeadingBase"/>
    <w:rsid w:val="00F02D4B"/>
    <w:pPr>
      <w:spacing w:before="240" w:after="60"/>
    </w:pPr>
    <w:rPr>
      <w:color w:val="918585"/>
      <w:sz w:val="22"/>
    </w:rPr>
  </w:style>
  <w:style w:type="paragraph" w:customStyle="1" w:styleId="SideHeading">
    <w:name w:val="Side Heading"/>
    <w:basedOn w:val="HeadingBase"/>
    <w:rsid w:val="00F02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D4B"/>
    <w:pPr>
      <w:numPr>
        <w:numId w:val="10"/>
      </w:numPr>
    </w:pPr>
  </w:style>
  <w:style w:type="paragraph" w:styleId="PlainText">
    <w:name w:val="Plain Text"/>
    <w:basedOn w:val="Normal"/>
    <w:link w:val="PlainTextChar"/>
    <w:rsid w:val="00F02D4B"/>
    <w:rPr>
      <w:sz w:val="20"/>
    </w:rPr>
  </w:style>
  <w:style w:type="character" w:customStyle="1" w:styleId="PlainTextChar">
    <w:name w:val="Plain Text Char"/>
    <w:basedOn w:val="DefaultParagraphFont"/>
    <w:link w:val="PlainText"/>
    <w:rsid w:val="00F02D4B"/>
    <w:rPr>
      <w:rFonts w:ascii="Courier New" w:eastAsia="Times New Roman" w:hAnsi="Courier New" w:cs="Times New Roman"/>
      <w:sz w:val="20"/>
      <w:szCs w:val="20"/>
      <w:lang w:eastAsia="en-US"/>
    </w:rPr>
  </w:style>
  <w:style w:type="character" w:customStyle="1" w:styleId="MenuOption">
    <w:name w:val="Menu Option"/>
    <w:basedOn w:val="DefaultParagraphFont"/>
    <w:rsid w:val="00F02D4B"/>
    <w:rPr>
      <w:b/>
      <w:smallCaps/>
    </w:rPr>
  </w:style>
  <w:style w:type="paragraph" w:customStyle="1" w:styleId="TableListNumber">
    <w:name w:val="Table List Number"/>
    <w:basedOn w:val="ListNumber"/>
    <w:rsid w:val="00F02D4B"/>
    <w:pPr>
      <w:numPr>
        <w:numId w:val="0"/>
      </w:numPr>
    </w:pPr>
  </w:style>
  <w:style w:type="paragraph" w:styleId="TOC4">
    <w:name w:val="toc 4"/>
    <w:basedOn w:val="TOCBase"/>
    <w:next w:val="Normal"/>
    <w:semiHidden/>
    <w:rsid w:val="00F02D4B"/>
    <w:pPr>
      <w:tabs>
        <w:tab w:val="right" w:leader="dot" w:pos="9071"/>
      </w:tabs>
      <w:ind w:left="1701"/>
    </w:pPr>
  </w:style>
  <w:style w:type="paragraph" w:customStyle="1" w:styleId="ListAlpha">
    <w:name w:val="List Alpha"/>
    <w:basedOn w:val="List"/>
    <w:rsid w:val="00F02D4B"/>
    <w:pPr>
      <w:numPr>
        <w:numId w:val="8"/>
      </w:numPr>
    </w:pPr>
  </w:style>
  <w:style w:type="paragraph" w:customStyle="1" w:styleId="ListAlpha2">
    <w:name w:val="List Alpha 2"/>
    <w:basedOn w:val="List2"/>
    <w:rsid w:val="00F02D4B"/>
    <w:pPr>
      <w:numPr>
        <w:numId w:val="7"/>
      </w:numPr>
    </w:pPr>
  </w:style>
  <w:style w:type="paragraph" w:styleId="List2">
    <w:name w:val="List 2"/>
    <w:basedOn w:val="BodyText"/>
    <w:rsid w:val="00F02D4B"/>
    <w:pPr>
      <w:tabs>
        <w:tab w:val="left" w:pos="680"/>
      </w:tabs>
      <w:spacing w:before="60" w:after="60"/>
      <w:ind w:left="680" w:hanging="340"/>
    </w:pPr>
  </w:style>
  <w:style w:type="paragraph" w:styleId="List3">
    <w:name w:val="List 3"/>
    <w:basedOn w:val="BodyText"/>
    <w:rsid w:val="00F02D4B"/>
    <w:pPr>
      <w:tabs>
        <w:tab w:val="left" w:pos="1021"/>
      </w:tabs>
      <w:spacing w:before="60" w:after="60"/>
      <w:ind w:left="1020" w:hanging="340"/>
    </w:pPr>
  </w:style>
  <w:style w:type="paragraph" w:styleId="List4">
    <w:name w:val="List 4"/>
    <w:basedOn w:val="BodyText"/>
    <w:rsid w:val="00F02D4B"/>
    <w:pPr>
      <w:tabs>
        <w:tab w:val="left" w:pos="1361"/>
      </w:tabs>
      <w:spacing w:before="60" w:after="60"/>
      <w:ind w:left="1361" w:hanging="340"/>
    </w:pPr>
  </w:style>
  <w:style w:type="paragraph" w:styleId="List5">
    <w:name w:val="List 5"/>
    <w:basedOn w:val="BodyText"/>
    <w:rsid w:val="00F02D4B"/>
    <w:pPr>
      <w:tabs>
        <w:tab w:val="left" w:pos="1701"/>
      </w:tabs>
      <w:spacing w:before="60" w:after="60"/>
      <w:ind w:left="1701" w:hanging="340"/>
    </w:pPr>
  </w:style>
  <w:style w:type="paragraph" w:styleId="ListBullet3">
    <w:name w:val="List Bullet 3"/>
    <w:basedOn w:val="List3"/>
    <w:rsid w:val="00F02D4B"/>
    <w:pPr>
      <w:numPr>
        <w:numId w:val="13"/>
      </w:numPr>
      <w:tabs>
        <w:tab w:val="clear" w:pos="1021"/>
      </w:tabs>
      <w:ind w:left="1037" w:hanging="357"/>
    </w:pPr>
  </w:style>
  <w:style w:type="paragraph" w:styleId="ListBullet4">
    <w:name w:val="List Bullet 4"/>
    <w:basedOn w:val="List4"/>
    <w:rsid w:val="00F02D4B"/>
    <w:pPr>
      <w:numPr>
        <w:numId w:val="2"/>
      </w:numPr>
      <w:tabs>
        <w:tab w:val="clear" w:pos="1361"/>
      </w:tabs>
    </w:pPr>
  </w:style>
  <w:style w:type="paragraph" w:styleId="ListBullet5">
    <w:name w:val="List Bullet 5"/>
    <w:basedOn w:val="List5"/>
    <w:rsid w:val="00F02D4B"/>
    <w:pPr>
      <w:numPr>
        <w:numId w:val="3"/>
      </w:numPr>
    </w:pPr>
  </w:style>
  <w:style w:type="paragraph" w:styleId="ListContinue2">
    <w:name w:val="List Continue 2"/>
    <w:basedOn w:val="List2"/>
    <w:rsid w:val="00F02D4B"/>
    <w:pPr>
      <w:ind w:firstLine="0"/>
    </w:pPr>
  </w:style>
  <w:style w:type="paragraph" w:styleId="ListContinue3">
    <w:name w:val="List Continue 3"/>
    <w:basedOn w:val="List3"/>
    <w:rsid w:val="00F02D4B"/>
    <w:pPr>
      <w:ind w:left="1021" w:firstLine="0"/>
    </w:pPr>
  </w:style>
  <w:style w:type="paragraph" w:styleId="ListContinue4">
    <w:name w:val="List Continue 4"/>
    <w:basedOn w:val="List4"/>
    <w:rsid w:val="00F02D4B"/>
    <w:pPr>
      <w:ind w:firstLine="0"/>
    </w:pPr>
  </w:style>
  <w:style w:type="paragraph" w:styleId="ListContinue5">
    <w:name w:val="List Continue 5"/>
    <w:basedOn w:val="List5"/>
    <w:rsid w:val="00F02D4B"/>
    <w:pPr>
      <w:ind w:firstLine="0"/>
    </w:pPr>
  </w:style>
  <w:style w:type="paragraph" w:styleId="ListNumber3">
    <w:name w:val="List Number 3"/>
    <w:basedOn w:val="List3"/>
    <w:rsid w:val="00F02D4B"/>
    <w:pPr>
      <w:numPr>
        <w:numId w:val="4"/>
      </w:numPr>
    </w:pPr>
  </w:style>
  <w:style w:type="paragraph" w:styleId="ListNumber4">
    <w:name w:val="List Number 4"/>
    <w:basedOn w:val="List4"/>
    <w:rsid w:val="00F02D4B"/>
    <w:pPr>
      <w:numPr>
        <w:numId w:val="5"/>
      </w:numPr>
    </w:pPr>
  </w:style>
  <w:style w:type="paragraph" w:styleId="ListNumber5">
    <w:name w:val="List Number 5"/>
    <w:basedOn w:val="List5"/>
    <w:rsid w:val="00F02D4B"/>
    <w:pPr>
      <w:numPr>
        <w:numId w:val="6"/>
      </w:numPr>
    </w:pPr>
  </w:style>
  <w:style w:type="paragraph" w:styleId="BlockText">
    <w:name w:val="Block Text"/>
    <w:basedOn w:val="Normal"/>
    <w:rsid w:val="00F02D4B"/>
    <w:pPr>
      <w:spacing w:after="120"/>
      <w:ind w:left="1440" w:right="1440"/>
    </w:pPr>
  </w:style>
  <w:style w:type="character" w:customStyle="1" w:styleId="Subscript">
    <w:name w:val="Subscript"/>
    <w:basedOn w:val="DefaultParagraphFont"/>
    <w:rsid w:val="00F02D4B"/>
    <w:rPr>
      <w:sz w:val="16"/>
      <w:vertAlign w:val="subscript"/>
    </w:rPr>
  </w:style>
  <w:style w:type="character" w:customStyle="1" w:styleId="Superscript">
    <w:name w:val="Superscript"/>
    <w:basedOn w:val="DefaultParagraphFont"/>
    <w:rsid w:val="00F02D4B"/>
    <w:rPr>
      <w:sz w:val="16"/>
      <w:vertAlign w:val="superscript"/>
    </w:rPr>
  </w:style>
  <w:style w:type="character" w:customStyle="1" w:styleId="Symbols">
    <w:name w:val="Symbols"/>
    <w:basedOn w:val="DefaultParagraphFont"/>
    <w:rsid w:val="00F02D4B"/>
    <w:rPr>
      <w:rFonts w:ascii="Symbol" w:hAnsi="Symbol"/>
    </w:rPr>
  </w:style>
  <w:style w:type="character" w:customStyle="1" w:styleId="MenuOptions">
    <w:name w:val="Menu Options"/>
    <w:basedOn w:val="DefaultParagraphFont"/>
    <w:rsid w:val="00F02D4B"/>
    <w:rPr>
      <w:rFonts w:ascii="Arial Narrow" w:hAnsi="Arial Narrow"/>
      <w:smallCaps/>
    </w:rPr>
  </w:style>
  <w:style w:type="character" w:customStyle="1" w:styleId="Buttons">
    <w:name w:val="Buttons"/>
    <w:basedOn w:val="DefaultParagraphFont"/>
    <w:rsid w:val="00F02D4B"/>
    <w:rPr>
      <w:b/>
    </w:rPr>
  </w:style>
  <w:style w:type="character" w:customStyle="1" w:styleId="Underlined">
    <w:name w:val="Underlined"/>
    <w:basedOn w:val="DefaultParagraphFont"/>
    <w:rsid w:val="00F02D4B"/>
    <w:rPr>
      <w:u w:val="single"/>
    </w:rPr>
  </w:style>
  <w:style w:type="paragraph" w:customStyle="1" w:styleId="TableBodyTextRight">
    <w:name w:val="Table Body Text Right"/>
    <w:basedOn w:val="TableBodyText"/>
    <w:rsid w:val="00F02D4B"/>
    <w:pPr>
      <w:widowControl w:val="0"/>
      <w:autoSpaceDE w:val="0"/>
      <w:autoSpaceDN w:val="0"/>
      <w:adjustRightInd w:val="0"/>
      <w:jc w:val="right"/>
    </w:pPr>
    <w:rPr>
      <w:rFonts w:cs="Arial"/>
      <w:szCs w:val="18"/>
    </w:rPr>
  </w:style>
  <w:style w:type="paragraph" w:customStyle="1" w:styleId="CopyrightText">
    <w:name w:val="Copyright Text"/>
    <w:basedOn w:val="BodyText"/>
    <w:rsid w:val="00F02D4B"/>
    <w:rPr>
      <w:sz w:val="18"/>
    </w:rPr>
  </w:style>
  <w:style w:type="paragraph" w:customStyle="1" w:styleId="BodySmallRight">
    <w:name w:val="Body Small Right"/>
    <w:basedOn w:val="BodyTextRight"/>
    <w:rsid w:val="00F02D4B"/>
    <w:rPr>
      <w:sz w:val="18"/>
      <w:szCs w:val="18"/>
    </w:rPr>
  </w:style>
  <w:style w:type="paragraph" w:customStyle="1" w:styleId="MarginEdition">
    <w:name w:val="Margin Edition"/>
    <w:basedOn w:val="MarginNote"/>
    <w:rsid w:val="00F02D4B"/>
    <w:pPr>
      <w:spacing w:before="0" w:after="0"/>
    </w:pPr>
    <w:rPr>
      <w:rFonts w:ascii="Times New Roman" w:hAnsi="Times New Roman"/>
      <w:color w:val="999999"/>
    </w:rPr>
  </w:style>
  <w:style w:type="paragraph" w:customStyle="1" w:styleId="Spacer">
    <w:name w:val="Spacer"/>
    <w:basedOn w:val="Normal"/>
    <w:rsid w:val="00F02D4B"/>
    <w:rPr>
      <w:sz w:val="2"/>
      <w:szCs w:val="2"/>
    </w:rPr>
  </w:style>
  <w:style w:type="character" w:customStyle="1" w:styleId="Small">
    <w:name w:val="Small"/>
    <w:basedOn w:val="DefaultParagraphFont"/>
    <w:rsid w:val="00F02D4B"/>
    <w:rPr>
      <w:sz w:val="16"/>
    </w:rPr>
  </w:style>
  <w:style w:type="paragraph" w:customStyle="1" w:styleId="WideTable">
    <w:name w:val="Wide Table"/>
    <w:basedOn w:val="Normal"/>
    <w:rsid w:val="00F02D4B"/>
    <w:pPr>
      <w:ind w:left="-1418"/>
    </w:pPr>
    <w:rPr>
      <w:sz w:val="2"/>
      <w:szCs w:val="2"/>
    </w:rPr>
  </w:style>
  <w:style w:type="character" w:styleId="PageNumber">
    <w:name w:val="page number"/>
    <w:basedOn w:val="DefaultParagraphFont"/>
    <w:rsid w:val="00F02D4B"/>
  </w:style>
  <w:style w:type="paragraph" w:styleId="Quote">
    <w:name w:val="Quote"/>
    <w:basedOn w:val="Heading1"/>
    <w:link w:val="QuoteChar"/>
    <w:qFormat/>
    <w:rsid w:val="00F02D4B"/>
    <w:rPr>
      <w:b w:val="0"/>
      <w:sz w:val="72"/>
      <w:szCs w:val="72"/>
      <w:lang w:val="en-NZ"/>
    </w:rPr>
  </w:style>
  <w:style w:type="character" w:customStyle="1" w:styleId="QuoteChar">
    <w:name w:val="Quote Char"/>
    <w:basedOn w:val="DefaultParagraphFont"/>
    <w:link w:val="Quote"/>
    <w:rsid w:val="00F02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D4B"/>
    <w:pPr>
      <w:pageBreakBefore/>
    </w:pPr>
  </w:style>
  <w:style w:type="paragraph" w:customStyle="1" w:styleId="Border">
    <w:name w:val="Border"/>
    <w:basedOn w:val="Normal"/>
    <w:qFormat/>
    <w:rsid w:val="00F02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D4B"/>
    <w:rPr>
      <w:b/>
      <w:bCs/>
      <w:i/>
      <w:iCs/>
      <w:color w:val="auto"/>
    </w:rPr>
  </w:style>
  <w:style w:type="paragraph" w:styleId="IntenseQuote">
    <w:name w:val="Intense Quote"/>
    <w:basedOn w:val="Normal"/>
    <w:next w:val="Normal"/>
    <w:link w:val="IntenseQuoteChar"/>
    <w:uiPriority w:val="30"/>
    <w:qFormat/>
    <w:rsid w:val="00F02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D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D4B"/>
    <w:rPr>
      <w:smallCaps/>
      <w:color w:val="auto"/>
      <w:u w:val="single"/>
    </w:rPr>
  </w:style>
  <w:style w:type="character" w:styleId="IntenseReference">
    <w:name w:val="Intense Reference"/>
    <w:basedOn w:val="DefaultParagraphFont"/>
    <w:uiPriority w:val="32"/>
    <w:qFormat/>
    <w:rsid w:val="00F02D4B"/>
    <w:rPr>
      <w:b/>
      <w:bCs/>
      <w:smallCaps/>
      <w:color w:val="auto"/>
      <w:spacing w:val="5"/>
      <w:u w:val="single"/>
    </w:rPr>
  </w:style>
  <w:style w:type="paragraph" w:customStyle="1" w:styleId="2ColumnHeading">
    <w:name w:val="2Column Heading"/>
    <w:basedOn w:val="BodyText"/>
    <w:qFormat/>
    <w:rsid w:val="00F02D4B"/>
    <w:pPr>
      <w:spacing w:after="60"/>
      <w:ind w:left="-2268"/>
    </w:pPr>
    <w:rPr>
      <w:b/>
    </w:rPr>
  </w:style>
  <w:style w:type="paragraph" w:customStyle="1" w:styleId="Heading1TOC">
    <w:name w:val="Heading1 TOC"/>
    <w:basedOn w:val="Normal"/>
    <w:qFormat/>
    <w:rsid w:val="00F02D4B"/>
    <w:pPr>
      <w:spacing w:before="240" w:after="120"/>
    </w:pPr>
    <w:rPr>
      <w:rFonts w:ascii="Times New Roman" w:hAnsi="Times New Roman"/>
      <w:b/>
      <w:sz w:val="32"/>
    </w:rPr>
  </w:style>
  <w:style w:type="paragraph" w:customStyle="1" w:styleId="Heading2TOC">
    <w:name w:val="Heading2 TOC"/>
    <w:basedOn w:val="Normal"/>
    <w:qFormat/>
    <w:rsid w:val="00F02D4B"/>
    <w:pPr>
      <w:spacing w:before="240" w:after="60"/>
    </w:pPr>
    <w:rPr>
      <w:rFonts w:ascii="Times New Roman" w:hAnsi="Times New Roman"/>
      <w:b/>
      <w:sz w:val="28"/>
    </w:rPr>
  </w:style>
  <w:style w:type="character" w:customStyle="1" w:styleId="Underline">
    <w:name w:val="Underline"/>
    <w:basedOn w:val="DefaultParagraphFont"/>
    <w:qFormat/>
    <w:rsid w:val="00F02D4B"/>
    <w:rPr>
      <w:u w:val="single"/>
    </w:rPr>
  </w:style>
  <w:style w:type="character" w:customStyle="1" w:styleId="BoldandItalics">
    <w:name w:val="Bold and Italics"/>
    <w:qFormat/>
    <w:rsid w:val="00F02D4B"/>
    <w:rPr>
      <w:b/>
      <w:i/>
      <w:u w:val="none"/>
    </w:rPr>
  </w:style>
  <w:style w:type="paragraph" w:styleId="BalloonText">
    <w:name w:val="Balloon Text"/>
    <w:basedOn w:val="Normal"/>
    <w:link w:val="BalloonTextChar"/>
    <w:rsid w:val="00F02D4B"/>
    <w:rPr>
      <w:rFonts w:ascii="Tahoma" w:hAnsi="Tahoma" w:cs="Tahoma"/>
      <w:sz w:val="16"/>
      <w:szCs w:val="16"/>
    </w:rPr>
  </w:style>
  <w:style w:type="character" w:customStyle="1" w:styleId="BalloonTextChar">
    <w:name w:val="Balloon Text Char"/>
    <w:basedOn w:val="DefaultParagraphFont"/>
    <w:link w:val="BalloonText"/>
    <w:rsid w:val="00F02D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D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D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D4B"/>
    <w:rPr>
      <w:b/>
      <w:color w:val="660033"/>
      <w:spacing w:val="0"/>
    </w:rPr>
  </w:style>
  <w:style w:type="paragraph" w:customStyle="1" w:styleId="Nameditemlist">
    <w:name w:val="Named item list"/>
    <w:basedOn w:val="BodyText"/>
    <w:qFormat/>
    <w:rsid w:val="00F02D4B"/>
    <w:pPr>
      <w:tabs>
        <w:tab w:val="left" w:pos="2835"/>
      </w:tabs>
      <w:ind w:left="2835" w:hanging="2835"/>
    </w:pPr>
  </w:style>
  <w:style w:type="paragraph" w:customStyle="1" w:styleId="BodyTextnopadding">
    <w:name w:val="Body Text no padding"/>
    <w:basedOn w:val="BodyText"/>
    <w:qFormat/>
    <w:rsid w:val="00F02D4B"/>
    <w:pPr>
      <w:spacing w:before="0" w:after="0"/>
    </w:pPr>
  </w:style>
  <w:style w:type="paragraph" w:customStyle="1" w:styleId="BodyTextBold">
    <w:name w:val="Body Text Bold"/>
    <w:basedOn w:val="BodyText"/>
    <w:qFormat/>
    <w:rsid w:val="00F02D4B"/>
    <w:rPr>
      <w:b/>
    </w:rPr>
  </w:style>
  <w:style w:type="character" w:styleId="Hyperlink">
    <w:name w:val="Hyperlink"/>
    <w:basedOn w:val="DefaultParagraphFont"/>
    <w:uiPriority w:val="99"/>
    <w:unhideWhenUsed/>
    <w:rsid w:val="004839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7104</Characters>
  <Application>Microsoft Office Word</Application>
  <DocSecurity>0</DocSecurity>
  <Lines>253</Lines>
  <Paragraphs>143</Paragraphs>
  <ScaleCrop>false</ScaleCrop>
  <Company>Author-it Software Corporation Ltd.</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TLIX0020X Monitor ethical supply chain practices</dc:title>
  <dc:subject>Approved</dc:subject>
  <dc:creator>Industry Skills Australia</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