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141" w:rsidP="00596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TLIX0020X Monitor ethical supply chain practices</w:t>
      </w:r>
      <w:r>
        <w:fldChar w:fldCharType="end"/>
      </w:r>
    </w:p>
    <w:p w:rsidR="00596141" w:rsidP="00596141">
      <w:pPr>
        <w:pStyle w:val="Version"/>
        <w:sectPr w:rsidSect="00994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DE0" w:rsidP="00994DE0">
      <w:pPr>
        <w:pStyle w:val="SuperHeading"/>
      </w:pPr>
      <w:r w:rsidRPr="00994DE0">
        <w:t>Assessment Requirements for TLIX0020X Monitor ethical supply chain practices</w:t>
      </w:r>
    </w:p>
    <w:p w:rsidR="00000000" w:rsidRPr="00994DE0" w:rsidP="00994DE0">
      <w:pPr>
        <w:pStyle w:val="Heading1"/>
      </w:pPr>
      <w:bookmarkStart w:id="1" w:name="O_1066472"/>
      <w:bookmarkEnd w:id="1"/>
      <w:r w:rsidRPr="00994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DE0" w:rsidP="00994DE0">
            <w:pPr>
              <w:pStyle w:val="BodyText"/>
            </w:pPr>
            <w:r w:rsidRPr="00994DE0">
              <w:rPr>
                <w:rStyle w:val="SpecialBold"/>
              </w:rPr>
              <w:t xml:space="preserve">Release 1. </w:t>
            </w:r>
            <w:r w:rsidRPr="00994DE0">
              <w:t>This is the first release of this unit of competency in the TLI Transport and Logistics Training Package.</w:t>
            </w:r>
          </w:p>
        </w:tc>
      </w:tr>
    </w:tbl>
    <w:p w:rsidR="00596141" w:rsidP="00994DE0">
      <w:pPr>
        <w:pStyle w:val="NoPaddingFontSize1"/>
      </w:pPr>
    </w:p>
    <w:p w:rsidR="00596141" w:rsidP="00994DE0">
      <w:pPr>
        <w:pStyle w:val="NoPaddingFontSize1"/>
      </w:pPr>
    </w:p>
    <w:p w:rsidR="00000000" w:rsidRPr="00994DE0" w:rsidP="00994DE0">
      <w:pPr>
        <w:pStyle w:val="Heading1"/>
      </w:pPr>
      <w:bookmarkStart w:id="2" w:name="O_1066473"/>
      <w:bookmarkEnd w:id="2"/>
      <w:r w:rsidRPr="00994D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DE0">
            <w:pPr>
              <w:pStyle w:val="BodyText"/>
              <w:rPr>
                <w:lang w:val="en-NZ"/>
              </w:rPr>
            </w:pPr>
            <w:r w:rsidRPr="00994DE0">
              <w:t>Evidence required to demonstrate competence in this unit must be relevant to and satisfy all requirements of the elements and performance criteria on at least one occasion and includes</w:t>
            </w:r>
          </w:p>
        </w:tc>
      </w:tr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DE0" w:rsidP="00994DE0">
            <w:pPr>
              <w:pStyle w:val="ListBullet"/>
            </w:pPr>
            <w:r w:rsidRPr="00994DE0">
              <w:t>collecting data on ethical practices using appro</w:t>
            </w:r>
            <w:r w:rsidRPr="00994DE0">
              <w:t xml:space="preserve">ved methods and tools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confirming legislative and regulatory obligations and industry standards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determining policies and procedures to support ethical practices in the supply chain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documenting continuous improvement actions  </w:t>
            </w:r>
          </w:p>
          <w:p w:rsidR="00000000" w:rsidRPr="00994DE0" w:rsidP="00994DE0">
            <w:pPr>
              <w:pStyle w:val="ListBullet"/>
            </w:pPr>
            <w:r w:rsidRPr="00994DE0">
              <w:t>documenting non-compliance a</w:t>
            </w:r>
            <w:r w:rsidRPr="00994DE0">
              <w:t>nd remediation actions related to unethical practices</w:t>
            </w:r>
          </w:p>
          <w:p w:rsidR="00000000" w:rsidRPr="00994DE0" w:rsidP="00994DE0">
            <w:pPr>
              <w:pStyle w:val="ListBullet"/>
            </w:pPr>
            <w:r w:rsidRPr="00994DE0">
              <w:t>evaluating ethical practices against Key Performance Indicators (KPIs)</w:t>
            </w:r>
          </w:p>
          <w:p w:rsidR="00000000" w:rsidRPr="00994DE0" w:rsidP="00994DE0">
            <w:pPr>
              <w:pStyle w:val="ListBullet"/>
            </w:pPr>
            <w:r w:rsidRPr="00994DE0">
              <w:t>following up on whistle blower reports</w:t>
            </w:r>
          </w:p>
          <w:p w:rsidR="00000000" w:rsidRPr="00994DE0" w:rsidP="00994DE0">
            <w:pPr>
              <w:pStyle w:val="ListBullet"/>
            </w:pPr>
            <w:r w:rsidRPr="00994DE0">
              <w:t>identifying and reporting on community expectations for ethical practices</w:t>
            </w:r>
          </w:p>
          <w:p w:rsidR="00000000" w:rsidRPr="00994DE0" w:rsidP="00994DE0">
            <w:pPr>
              <w:pStyle w:val="ListBullet"/>
            </w:pPr>
            <w:r w:rsidRPr="00994DE0">
              <w:t>identifying welfare and sustainability practices in the supply chain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monitoring compliance to supply chain codes of practice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monitoring product provenance </w:t>
            </w:r>
          </w:p>
          <w:p w:rsidR="00000000" w:rsidRPr="00994DE0" w:rsidP="00994DE0">
            <w:pPr>
              <w:pStyle w:val="ListBullet"/>
            </w:pPr>
            <w:r w:rsidRPr="00994DE0">
              <w:t>monitoring supply chain stakeholders</w:t>
            </w:r>
            <w:r>
              <w:t>’</w:t>
            </w:r>
            <w:r w:rsidRPr="00994DE0">
              <w:t xml:space="preserve"> integrity using approved methods and tools</w:t>
            </w:r>
          </w:p>
          <w:p w:rsidR="00000000" w:rsidRPr="00994DE0" w:rsidP="00994DE0">
            <w:pPr>
              <w:pStyle w:val="ListBullet"/>
            </w:pPr>
            <w:r w:rsidRPr="00994DE0">
              <w:t>reviewing data abo</w:t>
            </w:r>
            <w:r w:rsidRPr="00994DE0">
              <w:t>ut supply chain ethical practices and preparing reports</w:t>
            </w:r>
          </w:p>
          <w:p w:rsidR="00000000" w:rsidRPr="00994DE0" w:rsidP="00994DE0">
            <w:pPr>
              <w:pStyle w:val="ListBullet"/>
            </w:pPr>
            <w:r w:rsidRPr="00994DE0">
              <w:t>verifying KPIs for ethical practice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working with stakeholders to monitor continuous improvement activities and practices. </w:t>
            </w:r>
          </w:p>
        </w:tc>
      </w:tr>
    </w:tbl>
    <w:p w:rsidR="00000000" w:rsidRPr="00994DE0" w:rsidP="00994DE0">
      <w:pPr>
        <w:pStyle w:val="NoPaddingFontSize1"/>
      </w:pPr>
    </w:p>
    <w:p w:rsidR="00000000" w:rsidRPr="00994DE0" w:rsidP="00994DE0">
      <w:pPr>
        <w:pStyle w:val="AllowPageBreak"/>
      </w:pPr>
    </w:p>
    <w:p w:rsidR="00000000" w:rsidRPr="00994DE0" w:rsidP="00994DE0">
      <w:pPr>
        <w:pStyle w:val="Heading1"/>
      </w:pPr>
      <w:bookmarkStart w:id="3" w:name="O_1066474"/>
      <w:bookmarkEnd w:id="3"/>
      <w:r w:rsidRPr="00994D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DE0">
            <w:pPr>
              <w:pStyle w:val="BodyText"/>
              <w:rPr>
                <w:lang w:val="en-NZ"/>
              </w:rPr>
            </w:pPr>
            <w:r w:rsidRPr="00994DE0">
              <w:t>Evidence required to demonstrate comp</w:t>
            </w:r>
            <w:r w:rsidRPr="00994DE0">
              <w:t>etence in this unit must be relevant to and satisfy all requirements of the elements and performance criteria and includes knowledge of</w:t>
            </w:r>
          </w:p>
        </w:tc>
      </w:tr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DE0" w:rsidP="00994DE0">
            <w:pPr>
              <w:pStyle w:val="ListBullet"/>
            </w:pPr>
            <w:r w:rsidRPr="00994DE0">
              <w:t xml:space="preserve">approved methods and tools for data collection on ethical practices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circular economy principles in relation to addressing ethical sustainability practices in supply chains  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community expectations for ethical practices </w:t>
            </w:r>
          </w:p>
          <w:p w:rsidR="00000000" w:rsidRPr="00994DE0" w:rsidP="00994DE0">
            <w:pPr>
              <w:pStyle w:val="ListBullet"/>
            </w:pPr>
            <w:r w:rsidRPr="00994DE0">
              <w:t>compliance requirements for ethical practice in supply chains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continuous improvement principles </w:t>
            </w:r>
          </w:p>
          <w:p w:rsidR="00000000" w:rsidRPr="00994DE0" w:rsidP="00994DE0">
            <w:pPr>
              <w:pStyle w:val="ListBullet"/>
            </w:pPr>
            <w:r w:rsidRPr="00994DE0">
              <w:t>data co</w:t>
            </w:r>
            <w:r w:rsidRPr="00994DE0">
              <w:t>llection methods and tools</w:t>
            </w:r>
          </w:p>
          <w:p w:rsidR="00000000" w:rsidRPr="00994DE0" w:rsidP="00994DE0">
            <w:pPr>
              <w:pStyle w:val="ListBullet"/>
            </w:pPr>
            <w:r w:rsidRPr="00994DE0">
              <w:tab/>
              <w:t>ethical environmental and sustainability practices</w:t>
            </w:r>
          </w:p>
          <w:p w:rsidR="00000000" w:rsidRPr="00994DE0" w:rsidP="00994DE0">
            <w:pPr>
              <w:pStyle w:val="ListBullet"/>
            </w:pPr>
            <w:r w:rsidRPr="00994DE0">
              <w:t>evaluation methods for assessing ethical practices</w:t>
            </w:r>
          </w:p>
          <w:p w:rsidR="00000000" w:rsidRPr="00994DE0" w:rsidP="00994DE0">
            <w:pPr>
              <w:pStyle w:val="ListBullet"/>
            </w:pPr>
            <w:r w:rsidRPr="00994DE0">
              <w:t>Key Performance Indicators (KPIs) for ethical practice</w:t>
            </w:r>
          </w:p>
          <w:p w:rsidR="00000000" w:rsidRPr="00994DE0" w:rsidP="00994DE0">
            <w:pPr>
              <w:pStyle w:val="ListBullet"/>
            </w:pPr>
            <w:r w:rsidRPr="00994DE0">
              <w:t>legislation and regulatory obligations, industry standards and codes of</w:t>
            </w:r>
            <w:r w:rsidRPr="00994DE0">
              <w:t xml:space="preserve"> practice including follow up actions on whistle blower reports</w:t>
            </w:r>
          </w:p>
          <w:p w:rsidR="00000000" w:rsidRPr="00994DE0" w:rsidP="00994DE0">
            <w:pPr>
              <w:pStyle w:val="ListBullet"/>
            </w:pPr>
            <w:r w:rsidRPr="00994DE0">
              <w:t>methods for identifying stakeholder integrity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policies and procedures relevant to supply chain ethical practice  </w:t>
            </w:r>
          </w:p>
          <w:p w:rsidR="00000000" w:rsidRPr="00994DE0" w:rsidP="00994DE0">
            <w:pPr>
              <w:pStyle w:val="ListBullet"/>
            </w:pPr>
            <w:r w:rsidRPr="00994DE0">
              <w:t>product provenance</w:t>
            </w:r>
          </w:p>
          <w:p w:rsidR="00000000" w:rsidRPr="00994DE0" w:rsidP="00994DE0">
            <w:pPr>
              <w:pStyle w:val="ListBullet"/>
            </w:pPr>
            <w:r w:rsidRPr="00994DE0">
              <w:t>review and report requirements</w:t>
            </w:r>
          </w:p>
          <w:p w:rsidR="00000000" w:rsidRPr="00994DE0" w:rsidP="00994DE0">
            <w:pPr>
              <w:pStyle w:val="ListBullet"/>
            </w:pPr>
            <w:r w:rsidRPr="00994DE0">
              <w:t>supply chain stakeholders</w:t>
            </w:r>
          </w:p>
          <w:p w:rsidR="00000000" w:rsidRPr="00994DE0" w:rsidP="00994DE0">
            <w:pPr>
              <w:pStyle w:val="ListBullet"/>
            </w:pPr>
            <w:r w:rsidRPr="00994DE0">
              <w:t xml:space="preserve">sustainability and welfare practices and issues in supply chains </w:t>
            </w:r>
          </w:p>
          <w:p w:rsidR="00000000" w:rsidRPr="00994DE0" w:rsidP="00994DE0">
            <w:pPr>
              <w:pStyle w:val="ListBullet"/>
            </w:pPr>
            <w:r w:rsidRPr="00994DE0">
              <w:t>types of unethical practices in supply chains.</w:t>
            </w:r>
          </w:p>
        </w:tc>
      </w:tr>
    </w:tbl>
    <w:p w:rsidR="00000000" w:rsidRPr="00994DE0" w:rsidP="00994DE0">
      <w:pPr>
        <w:pStyle w:val="NoPaddingFontSize1"/>
      </w:pPr>
    </w:p>
    <w:p w:rsidR="00000000" w:rsidRPr="00994DE0" w:rsidP="00994DE0">
      <w:pPr>
        <w:pStyle w:val="AllowPageBreak"/>
      </w:pPr>
    </w:p>
    <w:p w:rsidR="00000000" w:rsidRPr="00994DE0" w:rsidP="00994DE0">
      <w:pPr>
        <w:pStyle w:val="Heading1"/>
      </w:pPr>
      <w:bookmarkStart w:id="4" w:name="O_1066475"/>
      <w:bookmarkEnd w:id="4"/>
      <w:r w:rsidRPr="00994D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DE0" w:rsidP="00994DE0">
            <w:pPr>
              <w:pStyle w:val="BodyText"/>
            </w:pPr>
            <w:r w:rsidRPr="00994DE0">
              <w:t>Assessors must hold credentials specified within the Standards for Registered Training Organisations</w:t>
            </w:r>
            <w:r w:rsidRPr="00994DE0">
              <w:t xml:space="preserve"> current at the time of assessment. </w:t>
            </w:r>
          </w:p>
          <w:p w:rsidR="00000000" w:rsidRPr="00994DE0" w:rsidP="00994DE0">
            <w:pPr>
              <w:pStyle w:val="BodyText"/>
            </w:pPr>
            <w:r w:rsidRPr="00994DE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94DE0" w:rsidP="00994DE0">
            <w:pPr>
              <w:pStyle w:val="BodyText"/>
            </w:pPr>
            <w:r w:rsidRPr="00994DE0">
              <w:t>Assessmen</w:t>
            </w:r>
            <w:r w:rsidRPr="00994DE0">
              <w:t>t must occur in workplace operational situations where it is appropriate to do so. Where this is not appropriate, assessment must occur in simulated workplace operational situations that replicate workplace conditions.</w:t>
            </w:r>
          </w:p>
          <w:p w:rsidR="00000000" w:rsidRPr="00994DE0" w:rsidP="00994DE0">
            <w:pPr>
              <w:pStyle w:val="BodyText"/>
            </w:pPr>
            <w:r w:rsidRPr="00994DE0">
              <w:t>Assessment processes and techniques m</w:t>
            </w:r>
            <w:r w:rsidRPr="00994DE0">
              <w:t>ust be appropriate to the language, literacy and numeracy requirements of the work being performed and the needs of the candidate.</w:t>
            </w:r>
          </w:p>
          <w:p w:rsidR="00000000" w:rsidRPr="00994DE0" w:rsidP="00994DE0">
            <w:pPr>
              <w:pStyle w:val="BodyText"/>
            </w:pPr>
            <w:r w:rsidRPr="00994DE0">
              <w:t>Resources for assessment must include access to a range of</w:t>
            </w:r>
          </w:p>
          <w:p w:rsidR="00000000" w:rsidRPr="00994DE0" w:rsidP="00994DE0">
            <w:pPr>
              <w:pStyle w:val="ListBullet"/>
            </w:pPr>
            <w:r w:rsidRPr="00994DE0">
              <w:t>exercises, case studies or simulations</w:t>
            </w:r>
          </w:p>
          <w:p w:rsidR="00000000" w:rsidRPr="00994DE0" w:rsidP="00994DE0">
            <w:pPr>
              <w:pStyle w:val="ListBullet"/>
            </w:pPr>
            <w:r w:rsidRPr="00994DE0">
              <w:t>materials, tools and digit</w:t>
            </w:r>
            <w:r w:rsidRPr="00994DE0">
              <w:t>al supply chain equipment used in industry</w:t>
            </w:r>
          </w:p>
          <w:p w:rsidR="00000000" w:rsidRPr="00994DE0" w:rsidP="00994DE0">
            <w:pPr>
              <w:pStyle w:val="ListBullet"/>
            </w:pPr>
            <w:r w:rsidRPr="00994DE0">
              <w:t>documentation including organisational policies and procedures, industry standards, legislation, regulations, codes of practice, operational manuals and equipment specifications.</w:t>
            </w:r>
            <w:r w:rsidRPr="00994DE0">
              <w:tab/>
            </w:r>
          </w:p>
        </w:tc>
      </w:tr>
    </w:tbl>
    <w:p w:rsidR="00000000" w:rsidRPr="00994DE0" w:rsidP="00994DE0">
      <w:pPr>
        <w:pStyle w:val="NoPaddingFontSize1"/>
      </w:pPr>
    </w:p>
    <w:p w:rsidR="00000000" w:rsidRPr="00994DE0" w:rsidP="00994DE0">
      <w:pPr>
        <w:pStyle w:val="AllowPageBreak"/>
      </w:pPr>
    </w:p>
    <w:p w:rsidR="00000000" w:rsidRPr="00994DE0" w:rsidP="00994DE0">
      <w:pPr>
        <w:pStyle w:val="Heading1"/>
      </w:pPr>
      <w:bookmarkStart w:id="5" w:name="O_1066478"/>
      <w:bookmarkEnd w:id="5"/>
      <w:r w:rsidRPr="00994DE0">
        <w:t>Links</w:t>
      </w:r>
    </w:p>
    <w:p w:rsidR="00000000" w:rsidRPr="00994DE0" w:rsidP="00596141">
      <w:pPr>
        <w:pStyle w:val="BodyText"/>
      </w:pPr>
      <w:r w:rsidRPr="00994D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5C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4DE0" w:rsidP="00994DE0"/>
    <w:sectPr w:rsidSect="00994D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E0" w:rsidRPr="00596141" w:rsidP="00596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41" w:rsidP="0099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141" w:rsidP="0099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6141" w:rsidP="00994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DE0" w:rsidRPr="00596141" w:rsidP="00596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41" w:rsidRPr="002D2AF8" w:rsidP="0099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TLIX0020X Monitor ethical supply chain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96141" w:rsidP="00994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9AB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482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DE0"/>
  </w:style>
  <w:style w:type="character" w:customStyle="1" w:styleId="Heading1Char">
    <w:name w:val="Heading 1 Char"/>
    <w:basedOn w:val="DefaultParagraphFont"/>
    <w:link w:val="Heading1"/>
    <w:rsid w:val="00994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DE0"/>
    <w:rPr>
      <w:b/>
      <w:spacing w:val="0"/>
    </w:rPr>
  </w:style>
  <w:style w:type="paragraph" w:customStyle="1" w:styleId="SuperHeading">
    <w:name w:val="SuperHeading"/>
    <w:basedOn w:val="Normal"/>
    <w:rsid w:val="00994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DE0"/>
    <w:rPr>
      <w:i/>
    </w:rPr>
  </w:style>
  <w:style w:type="paragraph" w:styleId="Caption">
    <w:name w:val="caption"/>
    <w:basedOn w:val="BodyText"/>
    <w:next w:val="Normal"/>
    <w:qFormat/>
    <w:rsid w:val="00994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DE0"/>
  </w:style>
  <w:style w:type="paragraph" w:styleId="TableofFigures">
    <w:name w:val="table of figures"/>
    <w:basedOn w:val="Normal"/>
    <w:next w:val="Normal"/>
    <w:semiHidden/>
    <w:rsid w:val="00994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DE0"/>
    <w:rPr>
      <w:rFonts w:ascii="Wingdings" w:hAnsi="Wingdings"/>
    </w:rPr>
  </w:style>
  <w:style w:type="paragraph" w:customStyle="1" w:styleId="TableHeading">
    <w:name w:val="Table Heading"/>
    <w:basedOn w:val="HeadingBase"/>
    <w:rsid w:val="00994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DE0"/>
    <w:rPr>
      <w:color w:val="0033CC"/>
      <w:u w:val="none"/>
    </w:rPr>
  </w:style>
  <w:style w:type="paragraph" w:customStyle="1" w:styleId="BodyTextRight">
    <w:name w:val="Body Text Right"/>
    <w:basedOn w:val="BodyText"/>
    <w:rsid w:val="00994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DE0"/>
    <w:rPr>
      <w:sz w:val="32"/>
    </w:rPr>
  </w:style>
  <w:style w:type="paragraph" w:customStyle="1" w:styleId="HeadingProcedure">
    <w:name w:val="Heading Procedure"/>
    <w:basedOn w:val="HeadingBase"/>
    <w:next w:val="Normal"/>
    <w:rsid w:val="00994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DE0"/>
    <w:pPr>
      <w:spacing w:before="60" w:after="60"/>
    </w:pPr>
  </w:style>
  <w:style w:type="paragraph" w:styleId="ListContinue">
    <w:name w:val="List Continue"/>
    <w:basedOn w:val="List"/>
    <w:rsid w:val="00994DE0"/>
    <w:pPr>
      <w:ind w:firstLine="0"/>
    </w:pPr>
  </w:style>
  <w:style w:type="paragraph" w:customStyle="1" w:styleId="ListNote">
    <w:name w:val="List Note"/>
    <w:basedOn w:val="List"/>
    <w:rsid w:val="00994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DE0"/>
    <w:rPr>
      <w:rFonts w:ascii="Courier New" w:hAnsi="Courier New"/>
    </w:rPr>
  </w:style>
  <w:style w:type="paragraph" w:customStyle="1" w:styleId="NoteBullet">
    <w:name w:val="Note Bullet"/>
    <w:basedOn w:val="Note"/>
    <w:rsid w:val="00994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DE0"/>
    <w:rPr>
      <w:b/>
      <w:smallCaps/>
    </w:rPr>
  </w:style>
  <w:style w:type="paragraph" w:customStyle="1" w:styleId="TableListNumber">
    <w:name w:val="Table List Number"/>
    <w:basedOn w:val="ListNumber"/>
    <w:rsid w:val="00994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DE0"/>
    <w:pPr>
      <w:numPr>
        <w:numId w:val="8"/>
      </w:numPr>
    </w:pPr>
  </w:style>
  <w:style w:type="paragraph" w:customStyle="1" w:styleId="ListAlpha2">
    <w:name w:val="List Alpha 2"/>
    <w:basedOn w:val="List2"/>
    <w:rsid w:val="00994DE0"/>
    <w:pPr>
      <w:numPr>
        <w:numId w:val="7"/>
      </w:numPr>
    </w:pPr>
  </w:style>
  <w:style w:type="paragraph" w:styleId="List2">
    <w:name w:val="List 2"/>
    <w:basedOn w:val="BodyText"/>
    <w:rsid w:val="00994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DE0"/>
    <w:pPr>
      <w:numPr>
        <w:numId w:val="3"/>
      </w:numPr>
    </w:pPr>
  </w:style>
  <w:style w:type="paragraph" w:styleId="ListContinue2">
    <w:name w:val="List Continue 2"/>
    <w:basedOn w:val="List2"/>
    <w:rsid w:val="00994DE0"/>
    <w:pPr>
      <w:ind w:firstLine="0"/>
    </w:pPr>
  </w:style>
  <w:style w:type="paragraph" w:styleId="ListContinue3">
    <w:name w:val="List Continue 3"/>
    <w:basedOn w:val="List3"/>
    <w:rsid w:val="00994DE0"/>
    <w:pPr>
      <w:ind w:left="1021" w:firstLine="0"/>
    </w:pPr>
  </w:style>
  <w:style w:type="paragraph" w:styleId="ListContinue4">
    <w:name w:val="List Continue 4"/>
    <w:basedOn w:val="List4"/>
    <w:rsid w:val="00994DE0"/>
    <w:pPr>
      <w:ind w:firstLine="0"/>
    </w:pPr>
  </w:style>
  <w:style w:type="paragraph" w:styleId="ListContinue5">
    <w:name w:val="List Continue 5"/>
    <w:basedOn w:val="List5"/>
    <w:rsid w:val="00994DE0"/>
    <w:pPr>
      <w:ind w:firstLine="0"/>
    </w:pPr>
  </w:style>
  <w:style w:type="paragraph" w:styleId="ListNumber3">
    <w:name w:val="List Number 3"/>
    <w:basedOn w:val="List3"/>
    <w:rsid w:val="00994DE0"/>
    <w:pPr>
      <w:numPr>
        <w:numId w:val="4"/>
      </w:numPr>
    </w:pPr>
  </w:style>
  <w:style w:type="paragraph" w:styleId="ListNumber4">
    <w:name w:val="List Number 4"/>
    <w:basedOn w:val="List4"/>
    <w:rsid w:val="00994DE0"/>
    <w:pPr>
      <w:numPr>
        <w:numId w:val="5"/>
      </w:numPr>
    </w:pPr>
  </w:style>
  <w:style w:type="paragraph" w:styleId="ListNumber5">
    <w:name w:val="List Number 5"/>
    <w:basedOn w:val="List5"/>
    <w:rsid w:val="00994DE0"/>
    <w:pPr>
      <w:numPr>
        <w:numId w:val="6"/>
      </w:numPr>
    </w:pPr>
  </w:style>
  <w:style w:type="paragraph" w:styleId="BlockText">
    <w:name w:val="Block Text"/>
    <w:basedOn w:val="Normal"/>
    <w:rsid w:val="00994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DE0"/>
    <w:rPr>
      <w:sz w:val="16"/>
      <w:vertAlign w:val="superscript"/>
    </w:rPr>
  </w:style>
  <w:style w:type="character" w:customStyle="1" w:styleId="Symbols">
    <w:name w:val="Symbols"/>
    <w:basedOn w:val="DefaultParagraphFont"/>
    <w:rsid w:val="00994DE0"/>
    <w:rPr>
      <w:rFonts w:ascii="Symbol" w:hAnsi="Symbol"/>
    </w:rPr>
  </w:style>
  <w:style w:type="character" w:customStyle="1" w:styleId="MenuOptions">
    <w:name w:val="Menu Options"/>
    <w:basedOn w:val="DefaultParagraphFont"/>
    <w:rsid w:val="00994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DE0"/>
    <w:rPr>
      <w:b/>
    </w:rPr>
  </w:style>
  <w:style w:type="character" w:customStyle="1" w:styleId="Underlined">
    <w:name w:val="Underlined"/>
    <w:basedOn w:val="DefaultParagraphFont"/>
    <w:rsid w:val="00994DE0"/>
    <w:rPr>
      <w:u w:val="single"/>
    </w:rPr>
  </w:style>
  <w:style w:type="paragraph" w:customStyle="1" w:styleId="TableBodyTextRight">
    <w:name w:val="Table Body Text Right"/>
    <w:basedOn w:val="TableBodyText"/>
    <w:rsid w:val="00994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DE0"/>
    <w:rPr>
      <w:sz w:val="18"/>
    </w:rPr>
  </w:style>
  <w:style w:type="paragraph" w:customStyle="1" w:styleId="BodySmallRight">
    <w:name w:val="Body Small Right"/>
    <w:basedOn w:val="BodyTextRight"/>
    <w:rsid w:val="00994DE0"/>
    <w:rPr>
      <w:sz w:val="18"/>
      <w:szCs w:val="18"/>
    </w:rPr>
  </w:style>
  <w:style w:type="paragraph" w:customStyle="1" w:styleId="MarginEdition">
    <w:name w:val="Margin Edition"/>
    <w:basedOn w:val="MarginNote"/>
    <w:rsid w:val="00994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DE0"/>
    <w:rPr>
      <w:sz w:val="2"/>
      <w:szCs w:val="2"/>
    </w:rPr>
  </w:style>
  <w:style w:type="character" w:customStyle="1" w:styleId="Small">
    <w:name w:val="Small"/>
    <w:basedOn w:val="DefaultParagraphFont"/>
    <w:rsid w:val="00994DE0"/>
    <w:rPr>
      <w:sz w:val="16"/>
    </w:rPr>
  </w:style>
  <w:style w:type="paragraph" w:customStyle="1" w:styleId="WideTable">
    <w:name w:val="Wide Table"/>
    <w:basedOn w:val="Normal"/>
    <w:rsid w:val="00994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DE0"/>
  </w:style>
  <w:style w:type="paragraph" w:styleId="Quote">
    <w:name w:val="Quote"/>
    <w:basedOn w:val="Heading1"/>
    <w:link w:val="QuoteChar"/>
    <w:qFormat/>
    <w:rsid w:val="00994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DE0"/>
    <w:pPr>
      <w:pageBreakBefore/>
    </w:pPr>
  </w:style>
  <w:style w:type="paragraph" w:customStyle="1" w:styleId="Border">
    <w:name w:val="Border"/>
    <w:basedOn w:val="Normal"/>
    <w:qFormat/>
    <w:rsid w:val="00994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DE0"/>
    <w:rPr>
      <w:u w:val="single"/>
    </w:rPr>
  </w:style>
  <w:style w:type="character" w:customStyle="1" w:styleId="BoldandItalics">
    <w:name w:val="Bold and Italics"/>
    <w:qFormat/>
    <w:rsid w:val="00994DE0"/>
    <w:rPr>
      <w:b/>
      <w:i/>
      <w:u w:val="none"/>
    </w:rPr>
  </w:style>
  <w:style w:type="paragraph" w:styleId="BalloonText">
    <w:name w:val="Balloon Text"/>
    <w:basedOn w:val="Normal"/>
    <w:link w:val="BalloonTextChar"/>
    <w:rsid w:val="0099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DE0"/>
    <w:pPr>
      <w:spacing w:before="0" w:after="0"/>
    </w:pPr>
  </w:style>
  <w:style w:type="paragraph" w:customStyle="1" w:styleId="BodyTextBold">
    <w:name w:val="Body Text Bold"/>
    <w:basedOn w:val="BodyText"/>
    <w:qFormat/>
    <w:rsid w:val="00994DE0"/>
    <w:rPr>
      <w:b/>
    </w:rPr>
  </w:style>
  <w:style w:type="character" w:styleId="Hyperlink">
    <w:name w:val="Hyperlink"/>
    <w:basedOn w:val="DefaultParagraphFont"/>
    <w:uiPriority w:val="99"/>
    <w:unhideWhenUsed/>
    <w:rsid w:val="00596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3554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TLIX0020X Monitor ethical supply chain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