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6D25" w:rsidP="00B66D25">
      <w:pPr>
        <w:pStyle w:val="Title"/>
      </w:pPr>
      <w:r>
        <w:fldChar w:fldCharType="begin"/>
      </w:r>
      <w:r>
        <w:instrText xml:space="preserve"> TITLE   \* MERGEFORMAT </w:instrText>
      </w:r>
      <w:r>
        <w:fldChar w:fldCharType="separate"/>
      </w:r>
      <w:r>
        <w:t>TLIX0019X Monitor digital supply chain services</w:t>
      </w:r>
      <w:r>
        <w:fldChar w:fldCharType="end"/>
      </w:r>
    </w:p>
    <w:p w:rsidR="00B66D25" w:rsidP="00B66D25">
      <w:pPr>
        <w:pStyle w:val="Version"/>
        <w:sectPr w:rsidSect="004A43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4325" w:rsidP="004A4325">
      <w:pPr>
        <w:pStyle w:val="SuperHeading"/>
      </w:pPr>
      <w:r w:rsidRPr="004A4325">
        <w:t>TLIX0019X Monitor digital supply chain services</w:t>
      </w:r>
    </w:p>
    <w:p w:rsidR="00000000" w:rsidRPr="004A4325" w:rsidP="004A4325">
      <w:pPr>
        <w:pStyle w:val="Heading1"/>
      </w:pPr>
      <w:bookmarkStart w:id="1" w:name="O_1066443"/>
      <w:bookmarkEnd w:id="1"/>
      <w:r w:rsidRPr="004A4325">
        <w:t>Modification History</w:t>
      </w:r>
    </w:p>
    <w:tbl>
      <w:tblPr>
        <w:tblW w:w="9497" w:type="dxa"/>
        <w:tblLayout w:type="fixed"/>
        <w:tblCellMar>
          <w:left w:w="62" w:type="dxa"/>
          <w:right w:w="62" w:type="dxa"/>
        </w:tblCellMar>
        <w:tblLook w:val="0000"/>
      </w:tblPr>
      <w:tblGrid>
        <w:gridCol w:w="9497"/>
      </w:tblGrid>
      <w:tr w:rsidTr="004A43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325" w:rsidP="004A4325">
            <w:pPr>
              <w:pStyle w:val="BodyText"/>
            </w:pPr>
            <w:r w:rsidRPr="004A4325">
              <w:rPr>
                <w:rStyle w:val="SpecialBold"/>
              </w:rPr>
              <w:t>Release 1.</w:t>
            </w:r>
            <w:r w:rsidRPr="004A4325">
              <w:t xml:space="preserve"> This is the first release of this unit of competency in the TLI Transport and Logistics Training Package.</w:t>
            </w:r>
          </w:p>
        </w:tc>
      </w:tr>
    </w:tbl>
    <w:p w:rsidR="00000000" w:rsidRPr="004A4325" w:rsidP="004A4325">
      <w:pPr>
        <w:pStyle w:val="NoPaddingFontSize1"/>
      </w:pPr>
    </w:p>
    <w:p w:rsidR="00000000" w:rsidRPr="004A4325" w:rsidP="004A4325">
      <w:pPr>
        <w:pStyle w:val="AllowPageBreak"/>
      </w:pPr>
    </w:p>
    <w:p w:rsidR="00000000" w:rsidRPr="004A4325" w:rsidP="004A4325">
      <w:pPr>
        <w:pStyle w:val="Heading1"/>
      </w:pPr>
      <w:bookmarkStart w:id="2" w:name="O_1066444"/>
      <w:bookmarkEnd w:id="2"/>
      <w:r w:rsidRPr="004A4325">
        <w:t>Application</w:t>
      </w:r>
    </w:p>
    <w:tbl>
      <w:tblPr>
        <w:tblW w:w="9497" w:type="dxa"/>
        <w:tblLayout w:type="fixed"/>
        <w:tblCellMar>
          <w:left w:w="62" w:type="dxa"/>
          <w:right w:w="62" w:type="dxa"/>
        </w:tblCellMar>
        <w:tblLook w:val="0000"/>
      </w:tblPr>
      <w:tblGrid>
        <w:gridCol w:w="9497"/>
      </w:tblGrid>
      <w:tr w:rsidTr="004A43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325" w:rsidP="004A4325">
            <w:pPr>
              <w:pStyle w:val="BodyText"/>
            </w:pPr>
            <w:r w:rsidRPr="004A4325">
              <w:t>This unit of competency describes the skills and knowledge required to monit</w:t>
            </w:r>
            <w:r w:rsidRPr="004A4325">
              <w:t>or digital supply chain services. It includes identifying digital supply chain services, monitoring digital supply chain services and reviewing and reporting on digital supply chain services.</w:t>
            </w:r>
          </w:p>
          <w:p w:rsidR="00000000" w:rsidRPr="004A4325" w:rsidP="004A4325">
            <w:pPr>
              <w:pStyle w:val="BodyText"/>
            </w:pPr>
            <w:r w:rsidRPr="004A4325">
              <w:t xml:space="preserve">Digital supply chain services typically use data from a variety </w:t>
            </w:r>
            <w:r w:rsidRPr="004A4325">
              <w:t>of devices, applications and cloud technologies to create visibility and collaboration. Monitoring digital supply chain services requires ongoing analysis of data, performance indicators and audit results of suppliers and their subcontractors to verify ser</w:t>
            </w:r>
            <w:r w:rsidRPr="004A4325">
              <w:t>vices.</w:t>
            </w:r>
          </w:p>
          <w:p w:rsidR="00000000" w:rsidRPr="004A4325" w:rsidP="004A4325">
            <w:pPr>
              <w:pStyle w:val="BodyText"/>
            </w:pPr>
            <w:r w:rsidRPr="004A4325">
              <w:t>The unit is applicable to those with management or team leadership responsibilities within a supply chain.</w:t>
            </w:r>
          </w:p>
          <w:p w:rsidR="00000000" w:rsidRPr="004A4325" w:rsidP="004A4325">
            <w:pPr>
              <w:pStyle w:val="BodyText"/>
            </w:pPr>
            <w:r w:rsidRPr="004A4325">
              <w:t>No licensing, legislative or certification requirements apply to this unit at the time of publication.</w:t>
            </w:r>
          </w:p>
        </w:tc>
      </w:tr>
    </w:tbl>
    <w:p w:rsidR="00000000" w:rsidRPr="004A4325" w:rsidP="004A4325">
      <w:pPr>
        <w:pStyle w:val="NoPaddingFontSize1"/>
      </w:pPr>
    </w:p>
    <w:p w:rsidR="00000000" w:rsidRPr="004A4325" w:rsidP="004A4325">
      <w:pPr>
        <w:pStyle w:val="AllowPageBreak"/>
      </w:pPr>
    </w:p>
    <w:p w:rsidR="00000000" w:rsidRPr="004A4325" w:rsidP="004A4325">
      <w:pPr>
        <w:pStyle w:val="Heading1"/>
      </w:pPr>
      <w:bookmarkStart w:id="3" w:name="O_1066445"/>
      <w:bookmarkEnd w:id="3"/>
      <w:r w:rsidRPr="004A4325">
        <w:t>Pre-requisite Unit</w:t>
      </w:r>
    </w:p>
    <w:tbl>
      <w:tblPr>
        <w:tblW w:w="9497" w:type="dxa"/>
        <w:tblLayout w:type="fixed"/>
        <w:tblCellMar>
          <w:left w:w="62" w:type="dxa"/>
          <w:right w:w="62" w:type="dxa"/>
        </w:tblCellMar>
        <w:tblLook w:val="0000"/>
      </w:tblPr>
      <w:tblGrid>
        <w:gridCol w:w="9497"/>
      </w:tblGrid>
      <w:tr w:rsidTr="004A43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325" w:rsidP="004A4325">
            <w:pPr>
              <w:pStyle w:val="BodyText"/>
            </w:pPr>
            <w:r w:rsidRPr="004A4325">
              <w:t>Not applicable.</w:t>
            </w:r>
          </w:p>
        </w:tc>
      </w:tr>
    </w:tbl>
    <w:p w:rsidR="00000000" w:rsidRPr="004A4325" w:rsidP="004A4325">
      <w:pPr>
        <w:pStyle w:val="NoPaddingFontSize1"/>
      </w:pPr>
    </w:p>
    <w:p w:rsidR="00000000" w:rsidRPr="004A4325" w:rsidP="004A4325">
      <w:pPr>
        <w:pStyle w:val="AllowPageBreak"/>
      </w:pPr>
    </w:p>
    <w:p w:rsidR="00000000" w:rsidRPr="004A4325" w:rsidP="004A4325">
      <w:pPr>
        <w:pStyle w:val="Heading1"/>
      </w:pPr>
      <w:bookmarkStart w:id="4" w:name="O_1066446"/>
      <w:bookmarkEnd w:id="4"/>
      <w:r w:rsidRPr="004A4325">
        <w:t>Competency Field</w:t>
      </w:r>
    </w:p>
    <w:tbl>
      <w:tblPr>
        <w:tblW w:w="9497" w:type="dxa"/>
        <w:tblLayout w:type="fixed"/>
        <w:tblCellMar>
          <w:left w:w="62" w:type="dxa"/>
          <w:right w:w="62" w:type="dxa"/>
        </w:tblCellMar>
        <w:tblLook w:val="0000"/>
      </w:tblPr>
      <w:tblGrid>
        <w:gridCol w:w="9497"/>
      </w:tblGrid>
      <w:tr w:rsidTr="004A43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325" w:rsidP="004A4325">
            <w:pPr>
              <w:pStyle w:val="BodyText"/>
            </w:pPr>
            <w:r w:rsidRPr="004A4325">
              <w:t>X - Logistics</w:t>
            </w:r>
          </w:p>
        </w:tc>
      </w:tr>
    </w:tbl>
    <w:p w:rsidR="00000000" w:rsidRPr="004A4325" w:rsidP="004A4325">
      <w:pPr>
        <w:pStyle w:val="NoPaddingFontSize1"/>
      </w:pPr>
    </w:p>
    <w:p w:rsidR="00000000" w:rsidRPr="004A4325" w:rsidP="004A4325">
      <w:pPr>
        <w:pStyle w:val="AllowPageBreak"/>
      </w:pPr>
    </w:p>
    <w:p w:rsidR="00000000" w:rsidRPr="004A4325" w:rsidP="004A4325">
      <w:pPr>
        <w:pStyle w:val="Heading1"/>
      </w:pPr>
      <w:bookmarkStart w:id="5" w:name="O_1066447"/>
      <w:bookmarkEnd w:id="5"/>
      <w:r w:rsidRPr="004A4325">
        <w:t>Unit Sector</w:t>
      </w:r>
    </w:p>
    <w:tbl>
      <w:tblPr>
        <w:tblW w:w="9497" w:type="dxa"/>
        <w:tblLayout w:type="fixed"/>
        <w:tblCellMar>
          <w:left w:w="62" w:type="dxa"/>
          <w:right w:w="62" w:type="dxa"/>
        </w:tblCellMar>
        <w:tblLook w:val="0000"/>
      </w:tblPr>
      <w:tblGrid>
        <w:gridCol w:w="9497"/>
      </w:tblGrid>
      <w:tr w:rsidTr="004A43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325" w:rsidP="004A4325">
            <w:pPr>
              <w:pStyle w:val="BodyText"/>
            </w:pPr>
            <w:r w:rsidRPr="004A4325">
              <w:t>Cross sector</w:t>
            </w:r>
          </w:p>
        </w:tc>
      </w:tr>
    </w:tbl>
    <w:p w:rsidR="00000000" w:rsidRPr="004A4325" w:rsidP="004A4325">
      <w:pPr>
        <w:pStyle w:val="NoPaddingFontSize1"/>
      </w:pPr>
    </w:p>
    <w:p w:rsidR="00000000" w:rsidRPr="004A4325" w:rsidP="004A4325">
      <w:pPr>
        <w:pStyle w:val="AllowPageBreak"/>
      </w:pPr>
    </w:p>
    <w:p w:rsidR="00000000" w:rsidRPr="004A4325" w:rsidP="004A4325">
      <w:pPr>
        <w:pStyle w:val="Heading1"/>
      </w:pPr>
      <w:bookmarkStart w:id="6" w:name="O_1066448"/>
      <w:bookmarkEnd w:id="6"/>
      <w:r w:rsidRPr="004A4325">
        <w:t>Elements and Performance Criteria</w:t>
      </w:r>
    </w:p>
    <w:tbl>
      <w:tblPr>
        <w:tblW w:w="0" w:type="auto"/>
        <w:tblLayout w:type="fixed"/>
        <w:tblCellMar>
          <w:left w:w="62" w:type="dxa"/>
          <w:right w:w="62" w:type="dxa"/>
        </w:tblCellMar>
        <w:tblLook w:val="0000"/>
      </w:tblPr>
      <w:tblGrid>
        <w:gridCol w:w="403"/>
        <w:gridCol w:w="2839"/>
        <w:gridCol w:w="638"/>
        <w:gridCol w:w="5259"/>
      </w:tblGrid>
      <w:tr w:rsidTr="004A4325">
        <w:tblPrEx>
          <w:tblW w:w="0" w:type="auto"/>
          <w:tblLayout w:type="fixed"/>
          <w:tblCellMar>
            <w:left w:w="62" w:type="dxa"/>
            <w:right w:w="62" w:type="dxa"/>
          </w:tblCellMar>
          <w:tblLook w:val="0000"/>
        </w:tblPrEx>
        <w:tc>
          <w:tcPr>
            <w:tcW w:w="3242" w:type="dxa"/>
            <w:gridSpan w:val="2"/>
            <w:tcBorders>
              <w:top w:val="nil"/>
              <w:left w:val="nil"/>
              <w:bottom w:val="nil"/>
              <w:right w:val="nil"/>
            </w:tcBorders>
            <w:tcMar>
              <w:top w:w="0" w:type="dxa"/>
              <w:left w:w="62" w:type="dxa"/>
              <w:bottom w:w="0" w:type="dxa"/>
              <w:right w:w="62" w:type="dxa"/>
            </w:tcMar>
          </w:tcPr>
          <w:p w:rsidR="00000000" w:rsidRPr="004A4325" w:rsidP="004A4325">
            <w:pPr>
              <w:pStyle w:val="BodyText"/>
            </w:pPr>
            <w:r w:rsidRPr="004A4325">
              <w:rPr>
                <w:rStyle w:val="SpecialBold"/>
              </w:rPr>
              <w:t>ELEMENTS</w:t>
            </w:r>
          </w:p>
        </w:tc>
        <w:tc>
          <w:tcPr>
            <w:tcW w:w="5897" w:type="dxa"/>
            <w:gridSpan w:val="2"/>
            <w:tcBorders>
              <w:top w:val="nil"/>
              <w:left w:val="nil"/>
              <w:bottom w:val="nil"/>
              <w:right w:val="nil"/>
            </w:tcBorders>
            <w:tcMar>
              <w:top w:w="0" w:type="dxa"/>
              <w:left w:w="62" w:type="dxa"/>
              <w:bottom w:w="0" w:type="dxa"/>
              <w:right w:w="62" w:type="dxa"/>
            </w:tcMar>
          </w:tcPr>
          <w:p w:rsidR="00000000" w:rsidP="004A4325">
            <w:pPr>
              <w:pStyle w:val="BodyText"/>
              <w:rPr>
                <w:lang w:val="en-NZ"/>
              </w:rPr>
            </w:pPr>
            <w:r w:rsidRPr="004A4325">
              <w:rPr>
                <w:rStyle w:val="SpecialBold"/>
              </w:rPr>
              <w:t>PERFORMANCE CRITERIA</w:t>
            </w:r>
          </w:p>
        </w:tc>
      </w:tr>
      <w:tr w:rsidTr="004A4325">
        <w:tblPrEx>
          <w:tblW w:w="0" w:type="auto"/>
          <w:tblLayout w:type="fixed"/>
          <w:tblCellMar>
            <w:left w:w="62" w:type="dxa"/>
            <w:right w:w="62" w:type="dxa"/>
          </w:tblCellMar>
          <w:tblLook w:val="0000"/>
        </w:tblPrEx>
        <w:tc>
          <w:tcPr>
            <w:tcW w:w="3242" w:type="dxa"/>
            <w:gridSpan w:val="2"/>
            <w:tcBorders>
              <w:top w:val="nil"/>
              <w:left w:val="nil"/>
              <w:bottom w:val="nil"/>
              <w:right w:val="nil"/>
            </w:tcBorders>
            <w:tcMar>
              <w:top w:w="0" w:type="dxa"/>
              <w:left w:w="62" w:type="dxa"/>
              <w:bottom w:w="0" w:type="dxa"/>
              <w:right w:w="62" w:type="dxa"/>
            </w:tcMar>
          </w:tcPr>
          <w:p w:rsidR="00000000" w:rsidP="004A4325">
            <w:pPr>
              <w:pStyle w:val="BodyText"/>
              <w:rPr>
                <w:lang w:val="en-NZ"/>
              </w:rPr>
            </w:pPr>
            <w:r w:rsidRPr="004A4325">
              <w:t>Elements describe the essential outcomes.</w:t>
            </w:r>
          </w:p>
        </w:tc>
        <w:tc>
          <w:tcPr>
            <w:tcW w:w="5897" w:type="dxa"/>
            <w:gridSpan w:val="2"/>
            <w:tcBorders>
              <w:top w:val="nil"/>
              <w:left w:val="nil"/>
              <w:bottom w:val="nil"/>
              <w:right w:val="nil"/>
            </w:tcBorders>
            <w:tcMar>
              <w:top w:w="0" w:type="dxa"/>
              <w:left w:w="62" w:type="dxa"/>
              <w:bottom w:w="0" w:type="dxa"/>
              <w:right w:w="62" w:type="dxa"/>
            </w:tcMar>
          </w:tcPr>
          <w:p w:rsidR="00000000" w:rsidP="004A4325">
            <w:pPr>
              <w:pStyle w:val="BodyText"/>
              <w:rPr>
                <w:lang w:val="en-NZ"/>
              </w:rPr>
            </w:pPr>
            <w:r w:rsidRPr="004A4325">
              <w:t>Performance criteria describe the performance needed to demonstrate achievement of the element.</w:t>
            </w:r>
          </w:p>
        </w:tc>
      </w:tr>
      <w:tr w:rsidTr="004A432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A4325" w:rsidP="004A4325">
            <w:pPr>
              <w:pStyle w:val="BodyText"/>
            </w:pPr>
            <w:r w:rsidRPr="004A4325">
              <w:rPr>
                <w:rStyle w:val="SpecialBold"/>
              </w:rPr>
              <w:t>1</w:t>
            </w:r>
          </w:p>
        </w:tc>
        <w:tc>
          <w:tcPr>
            <w:tcW w:w="2839" w:type="dxa"/>
            <w:tcBorders>
              <w:top w:val="nil"/>
              <w:left w:val="nil"/>
              <w:bottom w:val="nil"/>
              <w:right w:val="nil"/>
            </w:tcBorders>
            <w:tcMar>
              <w:top w:w="0" w:type="dxa"/>
              <w:left w:w="62" w:type="dxa"/>
              <w:bottom w:w="0" w:type="dxa"/>
              <w:right w:w="62" w:type="dxa"/>
            </w:tcMar>
          </w:tcPr>
          <w:p w:rsidR="00000000" w:rsidRPr="004A4325" w:rsidP="004A4325">
            <w:pPr>
              <w:pStyle w:val="BodyText"/>
            </w:pPr>
            <w:r w:rsidRPr="004A4325">
              <w:rPr>
                <w:rStyle w:val="SpecialBold"/>
              </w:rPr>
              <w:t>Identify digital supply chain services</w:t>
            </w:r>
          </w:p>
        </w:tc>
        <w:tc>
          <w:tcPr>
            <w:tcW w:w="638" w:type="dxa"/>
            <w:tcBorders>
              <w:top w:val="nil"/>
              <w:left w:val="nil"/>
              <w:bottom w:val="nil"/>
              <w:right w:val="nil"/>
            </w:tcBorders>
            <w:tcMar>
              <w:top w:w="0" w:type="dxa"/>
              <w:left w:w="62" w:type="dxa"/>
              <w:bottom w:w="0" w:type="dxa"/>
              <w:right w:w="62" w:type="dxa"/>
            </w:tcMar>
          </w:tcPr>
          <w:p w:rsidR="00000000" w:rsidP="004A4325">
            <w:pPr>
              <w:pStyle w:val="BodyText"/>
              <w:rPr>
                <w:lang w:val="en-NZ"/>
              </w:rPr>
            </w:pPr>
            <w:r w:rsidRPr="004A4325">
              <w:rPr>
                <w:rStyle w:val="SpecialBold"/>
              </w:rPr>
              <w:t>1.1</w:t>
            </w:r>
          </w:p>
        </w:tc>
        <w:tc>
          <w:tcPr>
            <w:tcW w:w="5259" w:type="dxa"/>
            <w:tcBorders>
              <w:top w:val="nil"/>
              <w:left w:val="nil"/>
              <w:bottom w:val="nil"/>
              <w:right w:val="nil"/>
            </w:tcBorders>
            <w:tcMar>
              <w:top w:w="0" w:type="dxa"/>
              <w:left w:w="62" w:type="dxa"/>
              <w:bottom w:w="0" w:type="dxa"/>
              <w:right w:w="62" w:type="dxa"/>
            </w:tcMar>
          </w:tcPr>
          <w:p w:rsidR="00000000" w:rsidP="004A4325">
            <w:pPr>
              <w:pStyle w:val="BodyText"/>
              <w:rPr>
                <w:lang w:val="en-NZ"/>
              </w:rPr>
            </w:pPr>
            <w:r w:rsidRPr="004A4325">
              <w:t>Services used in the digital supply chain are identified</w:t>
            </w:r>
          </w:p>
        </w:tc>
      </w:tr>
      <w:tr w:rsidTr="004A432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4A4325">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4A4325">
            <w:pPr>
              <w:pStyle w:val="BodyText"/>
              <w:rPr>
                <w:lang w:val="en-NZ"/>
              </w:rPr>
            </w:pPr>
            <w:r w:rsidRPr="004A4325">
              <w:rPr>
                <w:rStyle w:val="SpecialBold"/>
              </w:rPr>
              <w:t>1.2</w:t>
            </w:r>
          </w:p>
        </w:tc>
        <w:tc>
          <w:tcPr>
            <w:tcW w:w="5259" w:type="dxa"/>
            <w:tcBorders>
              <w:top w:val="nil"/>
              <w:left w:val="nil"/>
              <w:bottom w:val="nil"/>
              <w:right w:val="nil"/>
            </w:tcBorders>
            <w:tcMar>
              <w:top w:w="0" w:type="dxa"/>
              <w:left w:w="62" w:type="dxa"/>
              <w:bottom w:w="0" w:type="dxa"/>
              <w:right w:w="62" w:type="dxa"/>
            </w:tcMar>
          </w:tcPr>
          <w:p w:rsidR="00000000" w:rsidP="004A4325">
            <w:pPr>
              <w:pStyle w:val="BodyText"/>
              <w:rPr>
                <w:lang w:val="en-NZ"/>
              </w:rPr>
            </w:pPr>
            <w:r w:rsidRPr="004A4325">
              <w:t>Digital supply chain stakeholder relationships, p</w:t>
            </w:r>
            <w:r w:rsidRPr="004A4325">
              <w:t>roducts and responsibilities of service providers are identified</w:t>
            </w:r>
          </w:p>
        </w:tc>
      </w:tr>
      <w:tr w:rsidTr="004A432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4A4325">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4A4325">
            <w:pPr>
              <w:pStyle w:val="BodyText"/>
              <w:rPr>
                <w:lang w:val="en-NZ"/>
              </w:rPr>
            </w:pPr>
            <w:r w:rsidRPr="004A4325">
              <w:rPr>
                <w:rStyle w:val="SpecialBold"/>
              </w:rPr>
              <w:t>1.3</w:t>
            </w:r>
          </w:p>
        </w:tc>
        <w:tc>
          <w:tcPr>
            <w:tcW w:w="5259" w:type="dxa"/>
            <w:tcBorders>
              <w:top w:val="nil"/>
              <w:left w:val="nil"/>
              <w:bottom w:val="nil"/>
              <w:right w:val="nil"/>
            </w:tcBorders>
            <w:tcMar>
              <w:top w:w="0" w:type="dxa"/>
              <w:left w:w="62" w:type="dxa"/>
              <w:bottom w:w="0" w:type="dxa"/>
              <w:right w:w="62" w:type="dxa"/>
            </w:tcMar>
          </w:tcPr>
          <w:p w:rsidR="00000000" w:rsidP="004A4325">
            <w:pPr>
              <w:pStyle w:val="BodyText"/>
              <w:rPr>
                <w:lang w:val="en-NZ"/>
              </w:rPr>
            </w:pPr>
            <w:r w:rsidRPr="004A4325">
              <w:t>Key Performance Indicators (KPIs) for digital supply chain services are confirmed</w:t>
            </w:r>
          </w:p>
        </w:tc>
      </w:tr>
      <w:tr w:rsidTr="004A432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4A4325">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4A4325">
            <w:pPr>
              <w:pStyle w:val="BodyText"/>
              <w:rPr>
                <w:lang w:val="en-NZ"/>
              </w:rPr>
            </w:pPr>
            <w:r w:rsidRPr="004A4325">
              <w:rPr>
                <w:rStyle w:val="SpecialBold"/>
              </w:rPr>
              <w:t>1.4</w:t>
            </w:r>
          </w:p>
        </w:tc>
        <w:tc>
          <w:tcPr>
            <w:tcW w:w="5259" w:type="dxa"/>
            <w:tcBorders>
              <w:top w:val="nil"/>
              <w:left w:val="nil"/>
              <w:bottom w:val="nil"/>
              <w:right w:val="nil"/>
            </w:tcBorders>
            <w:tcMar>
              <w:top w:w="0" w:type="dxa"/>
              <w:left w:w="62" w:type="dxa"/>
              <w:bottom w:w="0" w:type="dxa"/>
              <w:right w:w="62" w:type="dxa"/>
            </w:tcMar>
          </w:tcPr>
          <w:p w:rsidR="00000000" w:rsidP="004A4325">
            <w:pPr>
              <w:pStyle w:val="BodyText"/>
              <w:rPr>
                <w:lang w:val="en-NZ"/>
              </w:rPr>
            </w:pPr>
            <w:r w:rsidRPr="004A4325">
              <w:t xml:space="preserve">Policies, procedures and processes, including industry standards, for digital supply chain services are determined  </w:t>
            </w:r>
          </w:p>
        </w:tc>
      </w:tr>
      <w:tr w:rsidTr="004A432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4A4325">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4A4325">
            <w:pPr>
              <w:pStyle w:val="BodyText"/>
              <w:rPr>
                <w:lang w:val="en-NZ"/>
              </w:rPr>
            </w:pPr>
            <w:r w:rsidRPr="004A4325">
              <w:rPr>
                <w:rStyle w:val="SpecialBold"/>
              </w:rPr>
              <w:t>1.5</w:t>
            </w:r>
          </w:p>
        </w:tc>
        <w:tc>
          <w:tcPr>
            <w:tcW w:w="5259" w:type="dxa"/>
            <w:tcBorders>
              <w:top w:val="nil"/>
              <w:left w:val="nil"/>
              <w:bottom w:val="nil"/>
              <w:right w:val="nil"/>
            </w:tcBorders>
            <w:tcMar>
              <w:top w:w="0" w:type="dxa"/>
              <w:left w:w="62" w:type="dxa"/>
              <w:bottom w:w="0" w:type="dxa"/>
              <w:right w:w="62" w:type="dxa"/>
            </w:tcMar>
          </w:tcPr>
          <w:p w:rsidR="00000000" w:rsidP="004A4325">
            <w:pPr>
              <w:pStyle w:val="BodyText"/>
              <w:rPr>
                <w:lang w:val="en-NZ"/>
              </w:rPr>
            </w:pPr>
            <w:r w:rsidRPr="004A4325">
              <w:t xml:space="preserve">Quality control and compliance systems for digital supply chain services are verified    </w:t>
            </w:r>
          </w:p>
        </w:tc>
      </w:tr>
      <w:tr w:rsidTr="004A432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4A4325">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4A4325">
            <w:pPr>
              <w:pStyle w:val="BodyText"/>
              <w:rPr>
                <w:lang w:val="en-NZ"/>
              </w:rPr>
            </w:pPr>
            <w:r w:rsidRPr="004A4325">
              <w:rPr>
                <w:rStyle w:val="SpecialBold"/>
              </w:rPr>
              <w:t>1.6</w:t>
            </w:r>
          </w:p>
        </w:tc>
        <w:tc>
          <w:tcPr>
            <w:tcW w:w="5259" w:type="dxa"/>
            <w:tcBorders>
              <w:top w:val="nil"/>
              <w:left w:val="nil"/>
              <w:bottom w:val="nil"/>
              <w:right w:val="nil"/>
            </w:tcBorders>
            <w:tcMar>
              <w:top w:w="0" w:type="dxa"/>
              <w:left w:w="62" w:type="dxa"/>
              <w:bottom w:w="0" w:type="dxa"/>
              <w:right w:w="62" w:type="dxa"/>
            </w:tcMar>
          </w:tcPr>
          <w:p w:rsidR="00000000" w:rsidP="004A4325">
            <w:pPr>
              <w:pStyle w:val="BodyText"/>
              <w:rPr>
                <w:lang w:val="en-NZ"/>
              </w:rPr>
            </w:pPr>
            <w:r w:rsidRPr="004A4325">
              <w:t xml:space="preserve">Digital supply chain services data </w:t>
            </w:r>
            <w:r w:rsidRPr="004A4325">
              <w:t>collection tools and methods are validated</w:t>
            </w:r>
          </w:p>
        </w:tc>
      </w:tr>
      <w:tr w:rsidTr="004A432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4A4325">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4A4325">
            <w:pPr>
              <w:pStyle w:val="BodyText"/>
              <w:rPr>
                <w:lang w:val="en-NZ"/>
              </w:rPr>
            </w:pPr>
            <w:r w:rsidRPr="004A4325">
              <w:rPr>
                <w:rStyle w:val="SpecialBold"/>
              </w:rPr>
              <w:t>1.7</w:t>
            </w:r>
          </w:p>
        </w:tc>
        <w:tc>
          <w:tcPr>
            <w:tcW w:w="5259" w:type="dxa"/>
            <w:tcBorders>
              <w:top w:val="nil"/>
              <w:left w:val="nil"/>
              <w:bottom w:val="nil"/>
              <w:right w:val="nil"/>
            </w:tcBorders>
            <w:tcMar>
              <w:top w:w="0" w:type="dxa"/>
              <w:left w:w="62" w:type="dxa"/>
              <w:bottom w:w="0" w:type="dxa"/>
              <w:right w:w="62" w:type="dxa"/>
            </w:tcMar>
          </w:tcPr>
          <w:p w:rsidR="00000000" w:rsidP="004A4325">
            <w:pPr>
              <w:pStyle w:val="BodyText"/>
              <w:rPr>
                <w:lang w:val="en-NZ"/>
              </w:rPr>
            </w:pPr>
            <w:r w:rsidRPr="004A4325">
              <w:t>Level of authority and assigned responsibilities for monitoring digital supply chain services is confirmed</w:t>
            </w:r>
          </w:p>
        </w:tc>
      </w:tr>
      <w:tr w:rsidTr="004A432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A4325" w:rsidP="004A4325">
            <w:pPr>
              <w:pStyle w:val="BodyText"/>
            </w:pPr>
            <w:r w:rsidRPr="004A4325">
              <w:rPr>
                <w:rStyle w:val="SpecialBold"/>
              </w:rPr>
              <w:t>2</w:t>
            </w:r>
          </w:p>
        </w:tc>
        <w:tc>
          <w:tcPr>
            <w:tcW w:w="2839" w:type="dxa"/>
            <w:tcBorders>
              <w:top w:val="nil"/>
              <w:left w:val="nil"/>
              <w:bottom w:val="nil"/>
              <w:right w:val="nil"/>
            </w:tcBorders>
            <w:tcMar>
              <w:top w:w="0" w:type="dxa"/>
              <w:left w:w="62" w:type="dxa"/>
              <w:bottom w:w="0" w:type="dxa"/>
              <w:right w:w="62" w:type="dxa"/>
            </w:tcMar>
          </w:tcPr>
          <w:p w:rsidR="00000000" w:rsidRPr="004A4325" w:rsidP="004A4325">
            <w:pPr>
              <w:pStyle w:val="BodyText"/>
            </w:pPr>
            <w:r w:rsidRPr="004A4325">
              <w:rPr>
                <w:rStyle w:val="SpecialBold"/>
              </w:rPr>
              <w:t>Monitor digital supply chain services</w:t>
            </w:r>
          </w:p>
        </w:tc>
        <w:tc>
          <w:tcPr>
            <w:tcW w:w="638" w:type="dxa"/>
            <w:tcBorders>
              <w:top w:val="nil"/>
              <w:left w:val="nil"/>
              <w:bottom w:val="nil"/>
              <w:right w:val="nil"/>
            </w:tcBorders>
            <w:tcMar>
              <w:top w:w="0" w:type="dxa"/>
              <w:left w:w="62" w:type="dxa"/>
              <w:bottom w:w="0" w:type="dxa"/>
              <w:right w:w="62" w:type="dxa"/>
            </w:tcMar>
          </w:tcPr>
          <w:p w:rsidR="00000000" w:rsidP="004A4325">
            <w:pPr>
              <w:pStyle w:val="BodyText"/>
              <w:rPr>
                <w:lang w:val="en-NZ"/>
              </w:rPr>
            </w:pPr>
            <w:r w:rsidRPr="004A4325">
              <w:rPr>
                <w:rStyle w:val="SpecialBold"/>
              </w:rPr>
              <w:t>2.1</w:t>
            </w:r>
          </w:p>
        </w:tc>
        <w:tc>
          <w:tcPr>
            <w:tcW w:w="5259" w:type="dxa"/>
            <w:tcBorders>
              <w:top w:val="nil"/>
              <w:left w:val="nil"/>
              <w:bottom w:val="nil"/>
              <w:right w:val="nil"/>
            </w:tcBorders>
            <w:tcMar>
              <w:top w:w="0" w:type="dxa"/>
              <w:left w:w="62" w:type="dxa"/>
              <w:bottom w:w="0" w:type="dxa"/>
              <w:right w:w="62" w:type="dxa"/>
            </w:tcMar>
          </w:tcPr>
          <w:p w:rsidR="00000000" w:rsidP="004A4325">
            <w:pPr>
              <w:pStyle w:val="BodyText"/>
              <w:rPr>
                <w:lang w:val="en-NZ"/>
              </w:rPr>
            </w:pPr>
            <w:r w:rsidRPr="004A4325">
              <w:t>Performance of digital supply chain services a</w:t>
            </w:r>
            <w:r w:rsidRPr="004A4325">
              <w:t>re monitored, using approved methods and tools, to ensure KPIs are being met</w:t>
            </w:r>
          </w:p>
        </w:tc>
      </w:tr>
      <w:tr w:rsidTr="004A432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4A4325">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4A4325">
            <w:pPr>
              <w:pStyle w:val="BodyText"/>
              <w:rPr>
                <w:lang w:val="en-NZ"/>
              </w:rPr>
            </w:pPr>
            <w:r w:rsidRPr="004A4325">
              <w:rPr>
                <w:rStyle w:val="SpecialBold"/>
              </w:rPr>
              <w:t>2.2</w:t>
            </w:r>
          </w:p>
        </w:tc>
        <w:tc>
          <w:tcPr>
            <w:tcW w:w="5259" w:type="dxa"/>
            <w:tcBorders>
              <w:top w:val="nil"/>
              <w:left w:val="nil"/>
              <w:bottom w:val="nil"/>
              <w:right w:val="nil"/>
            </w:tcBorders>
            <w:tcMar>
              <w:top w:w="0" w:type="dxa"/>
              <w:left w:w="62" w:type="dxa"/>
              <w:bottom w:w="0" w:type="dxa"/>
              <w:right w:w="62" w:type="dxa"/>
            </w:tcMar>
          </w:tcPr>
          <w:p w:rsidR="00000000" w:rsidP="004A4325">
            <w:pPr>
              <w:pStyle w:val="BodyText"/>
              <w:rPr>
                <w:lang w:val="en-NZ"/>
              </w:rPr>
            </w:pPr>
            <w:r w:rsidRPr="004A4325">
              <w:t xml:space="preserve">Real time levels of demand and inventory in digital supply chain services are monitored for product and stock movement    </w:t>
            </w:r>
          </w:p>
        </w:tc>
      </w:tr>
      <w:tr w:rsidTr="004A432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4A4325">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4A4325">
            <w:pPr>
              <w:pStyle w:val="BodyText"/>
              <w:rPr>
                <w:lang w:val="en-NZ"/>
              </w:rPr>
            </w:pPr>
            <w:r w:rsidRPr="004A4325">
              <w:rPr>
                <w:rStyle w:val="SpecialBold"/>
              </w:rPr>
              <w:t>2.3</w:t>
            </w:r>
          </w:p>
        </w:tc>
        <w:tc>
          <w:tcPr>
            <w:tcW w:w="5259" w:type="dxa"/>
            <w:tcBorders>
              <w:top w:val="nil"/>
              <w:left w:val="nil"/>
              <w:bottom w:val="nil"/>
              <w:right w:val="nil"/>
            </w:tcBorders>
            <w:tcMar>
              <w:top w:w="0" w:type="dxa"/>
              <w:left w:w="62" w:type="dxa"/>
              <w:bottom w:w="0" w:type="dxa"/>
              <w:right w:w="62" w:type="dxa"/>
            </w:tcMar>
          </w:tcPr>
          <w:p w:rsidR="00000000" w:rsidP="004A4325">
            <w:pPr>
              <w:pStyle w:val="BodyText"/>
              <w:rPr>
                <w:lang w:val="en-NZ"/>
              </w:rPr>
            </w:pPr>
            <w:r w:rsidRPr="004A4325">
              <w:t>Quality control in digital supply chain se</w:t>
            </w:r>
            <w:r w:rsidRPr="004A4325">
              <w:t>rvices is monitored, in accordance with quality management procedures</w:t>
            </w:r>
          </w:p>
        </w:tc>
      </w:tr>
      <w:tr w:rsidTr="004A432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4A4325">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4A4325">
            <w:pPr>
              <w:pStyle w:val="BodyText"/>
              <w:rPr>
                <w:lang w:val="en-NZ"/>
              </w:rPr>
            </w:pPr>
            <w:r w:rsidRPr="004A4325">
              <w:rPr>
                <w:rStyle w:val="SpecialBold"/>
              </w:rPr>
              <w:t>2.4</w:t>
            </w:r>
          </w:p>
        </w:tc>
        <w:tc>
          <w:tcPr>
            <w:tcW w:w="5259" w:type="dxa"/>
            <w:tcBorders>
              <w:top w:val="nil"/>
              <w:left w:val="nil"/>
              <w:bottom w:val="nil"/>
              <w:right w:val="nil"/>
            </w:tcBorders>
            <w:tcMar>
              <w:top w:w="0" w:type="dxa"/>
              <w:left w:w="62" w:type="dxa"/>
              <w:bottom w:w="0" w:type="dxa"/>
              <w:right w:w="62" w:type="dxa"/>
            </w:tcMar>
          </w:tcPr>
          <w:p w:rsidR="00000000" w:rsidP="004A4325">
            <w:pPr>
              <w:pStyle w:val="BodyText"/>
              <w:rPr>
                <w:lang w:val="en-NZ"/>
              </w:rPr>
            </w:pPr>
            <w:r w:rsidRPr="004A4325">
              <w:t>Risks to digital supply chain services are identified and monitored, in accordance with risk management procedures</w:t>
            </w:r>
          </w:p>
        </w:tc>
      </w:tr>
      <w:tr w:rsidTr="004A432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4A4325">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4A4325">
            <w:pPr>
              <w:pStyle w:val="BodyText"/>
              <w:rPr>
                <w:lang w:val="en-NZ"/>
              </w:rPr>
            </w:pPr>
            <w:r w:rsidRPr="004A4325">
              <w:rPr>
                <w:rStyle w:val="SpecialBold"/>
              </w:rPr>
              <w:t>2.5</w:t>
            </w:r>
          </w:p>
        </w:tc>
        <w:tc>
          <w:tcPr>
            <w:tcW w:w="5259" w:type="dxa"/>
            <w:tcBorders>
              <w:top w:val="nil"/>
              <w:left w:val="nil"/>
              <w:bottom w:val="nil"/>
              <w:right w:val="nil"/>
            </w:tcBorders>
            <w:tcMar>
              <w:top w:w="0" w:type="dxa"/>
              <w:left w:w="62" w:type="dxa"/>
              <w:bottom w:w="0" w:type="dxa"/>
              <w:right w:w="62" w:type="dxa"/>
            </w:tcMar>
          </w:tcPr>
          <w:p w:rsidR="00000000" w:rsidP="004A4325">
            <w:pPr>
              <w:pStyle w:val="BodyText"/>
              <w:rPr>
                <w:lang w:val="en-NZ"/>
              </w:rPr>
            </w:pPr>
            <w:r w:rsidRPr="004A4325">
              <w:t>Security measures in digital supply chain services are monitored to identify and track potential vulnerabilities</w:t>
            </w:r>
          </w:p>
        </w:tc>
      </w:tr>
      <w:tr w:rsidTr="004A432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4A4325">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4A4325">
            <w:pPr>
              <w:pStyle w:val="BodyText"/>
              <w:rPr>
                <w:lang w:val="en-NZ"/>
              </w:rPr>
            </w:pPr>
            <w:r w:rsidRPr="004A4325">
              <w:rPr>
                <w:rStyle w:val="SpecialBold"/>
              </w:rPr>
              <w:t>2.6</w:t>
            </w:r>
          </w:p>
        </w:tc>
        <w:tc>
          <w:tcPr>
            <w:tcW w:w="5259" w:type="dxa"/>
            <w:tcBorders>
              <w:top w:val="nil"/>
              <w:left w:val="nil"/>
              <w:bottom w:val="nil"/>
              <w:right w:val="nil"/>
            </w:tcBorders>
            <w:tcMar>
              <w:top w:w="0" w:type="dxa"/>
              <w:left w:w="62" w:type="dxa"/>
              <w:bottom w:w="0" w:type="dxa"/>
              <w:right w:w="62" w:type="dxa"/>
            </w:tcMar>
          </w:tcPr>
          <w:p w:rsidR="00000000" w:rsidP="004A4325">
            <w:pPr>
              <w:pStyle w:val="BodyText"/>
              <w:rPr>
                <w:lang w:val="en-NZ"/>
              </w:rPr>
            </w:pPr>
            <w:r w:rsidRPr="004A4325">
              <w:t xml:space="preserve">Compliance and non-compliance remediation is monitored and documented, in accordance with compliance management procedures </w:t>
            </w:r>
          </w:p>
        </w:tc>
      </w:tr>
      <w:tr w:rsidTr="004A432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A4325" w:rsidP="004A4325">
            <w:pPr>
              <w:pStyle w:val="BodyText"/>
            </w:pPr>
            <w:r w:rsidRPr="004A4325">
              <w:rPr>
                <w:rStyle w:val="SpecialBold"/>
              </w:rPr>
              <w:t>3</w:t>
            </w:r>
          </w:p>
        </w:tc>
        <w:tc>
          <w:tcPr>
            <w:tcW w:w="2839" w:type="dxa"/>
            <w:tcBorders>
              <w:top w:val="nil"/>
              <w:left w:val="nil"/>
              <w:bottom w:val="nil"/>
              <w:right w:val="nil"/>
            </w:tcBorders>
            <w:tcMar>
              <w:top w:w="0" w:type="dxa"/>
              <w:left w:w="62" w:type="dxa"/>
              <w:bottom w:w="0" w:type="dxa"/>
              <w:right w:w="62" w:type="dxa"/>
            </w:tcMar>
          </w:tcPr>
          <w:p w:rsidR="00000000" w:rsidRPr="004A4325" w:rsidP="004A4325">
            <w:pPr>
              <w:pStyle w:val="BodyText"/>
            </w:pPr>
            <w:r w:rsidRPr="004A4325">
              <w:rPr>
                <w:rStyle w:val="SpecialBold"/>
              </w:rPr>
              <w:t>Review an</w:t>
            </w:r>
            <w:r w:rsidRPr="004A4325">
              <w:rPr>
                <w:rStyle w:val="SpecialBold"/>
              </w:rPr>
              <w:t>d report on</w:t>
            </w:r>
            <w:r w:rsidRPr="004A4325">
              <w:t xml:space="preserve"> </w:t>
            </w:r>
            <w:r w:rsidRPr="004A4325">
              <w:rPr>
                <w:rStyle w:val="SpecialBold"/>
              </w:rPr>
              <w:t xml:space="preserve">digital supply chain services </w:t>
            </w:r>
          </w:p>
        </w:tc>
        <w:tc>
          <w:tcPr>
            <w:tcW w:w="638" w:type="dxa"/>
            <w:tcBorders>
              <w:top w:val="nil"/>
              <w:left w:val="nil"/>
              <w:bottom w:val="nil"/>
              <w:right w:val="nil"/>
            </w:tcBorders>
            <w:tcMar>
              <w:top w:w="0" w:type="dxa"/>
              <w:left w:w="62" w:type="dxa"/>
              <w:bottom w:w="0" w:type="dxa"/>
              <w:right w:w="62" w:type="dxa"/>
            </w:tcMar>
          </w:tcPr>
          <w:p w:rsidR="00000000" w:rsidP="004A4325">
            <w:pPr>
              <w:pStyle w:val="BodyText"/>
              <w:rPr>
                <w:lang w:val="en-NZ"/>
              </w:rPr>
            </w:pPr>
            <w:r w:rsidRPr="004A4325">
              <w:rPr>
                <w:rStyle w:val="SpecialBold"/>
              </w:rPr>
              <w:t>3.1</w:t>
            </w:r>
          </w:p>
        </w:tc>
        <w:tc>
          <w:tcPr>
            <w:tcW w:w="5259" w:type="dxa"/>
            <w:tcBorders>
              <w:top w:val="nil"/>
              <w:left w:val="nil"/>
              <w:bottom w:val="nil"/>
              <w:right w:val="nil"/>
            </w:tcBorders>
            <w:tcMar>
              <w:top w:w="0" w:type="dxa"/>
              <w:left w:w="62" w:type="dxa"/>
              <w:bottom w:w="0" w:type="dxa"/>
              <w:right w:w="62" w:type="dxa"/>
            </w:tcMar>
          </w:tcPr>
          <w:p w:rsidR="00000000" w:rsidP="004A4325">
            <w:pPr>
              <w:pStyle w:val="BodyText"/>
              <w:rPr>
                <w:lang w:val="en-NZ"/>
              </w:rPr>
            </w:pPr>
            <w:r w:rsidRPr="004A4325">
              <w:t xml:space="preserve">Performance indicators, data and audit results of digital supply chain services are collated and analysed </w:t>
            </w:r>
          </w:p>
        </w:tc>
      </w:tr>
      <w:tr w:rsidTr="004A432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4A4325">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4A4325">
            <w:pPr>
              <w:pStyle w:val="BodyText"/>
              <w:rPr>
                <w:lang w:val="en-NZ"/>
              </w:rPr>
            </w:pPr>
            <w:r w:rsidRPr="004A4325">
              <w:rPr>
                <w:rStyle w:val="SpecialBold"/>
              </w:rPr>
              <w:t>3.2</w:t>
            </w:r>
          </w:p>
        </w:tc>
        <w:tc>
          <w:tcPr>
            <w:tcW w:w="5259" w:type="dxa"/>
            <w:tcBorders>
              <w:top w:val="nil"/>
              <w:left w:val="nil"/>
              <w:bottom w:val="nil"/>
              <w:right w:val="nil"/>
            </w:tcBorders>
            <w:tcMar>
              <w:top w:w="0" w:type="dxa"/>
              <w:left w:w="62" w:type="dxa"/>
              <w:bottom w:w="0" w:type="dxa"/>
              <w:right w:w="62" w:type="dxa"/>
            </w:tcMar>
          </w:tcPr>
          <w:p w:rsidR="00000000" w:rsidP="004A4325">
            <w:pPr>
              <w:pStyle w:val="BodyText"/>
              <w:rPr>
                <w:lang w:val="en-NZ"/>
              </w:rPr>
            </w:pPr>
            <w:r w:rsidRPr="004A4325">
              <w:t xml:space="preserve">Report with recommendations is prepared and </w:t>
            </w:r>
            <w:r w:rsidRPr="004A4325">
              <w:t>presented to approved digital supply chain stakehol</w:t>
            </w:r>
            <w:r w:rsidRPr="004A4325">
              <w:t xml:space="preserve">ders  </w:t>
            </w:r>
          </w:p>
        </w:tc>
      </w:tr>
      <w:tr w:rsidTr="004A432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4A4325">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4A4325">
            <w:pPr>
              <w:pStyle w:val="BodyText"/>
              <w:rPr>
                <w:lang w:val="en-NZ"/>
              </w:rPr>
            </w:pPr>
            <w:r w:rsidRPr="004A4325">
              <w:rPr>
                <w:rStyle w:val="SpecialBold"/>
              </w:rPr>
              <w:t>3.3</w:t>
            </w:r>
          </w:p>
        </w:tc>
        <w:tc>
          <w:tcPr>
            <w:tcW w:w="5259" w:type="dxa"/>
            <w:tcBorders>
              <w:top w:val="nil"/>
              <w:left w:val="nil"/>
              <w:bottom w:val="nil"/>
              <w:right w:val="nil"/>
            </w:tcBorders>
            <w:tcMar>
              <w:top w:w="0" w:type="dxa"/>
              <w:left w:w="62" w:type="dxa"/>
              <w:bottom w:w="0" w:type="dxa"/>
              <w:right w:w="62" w:type="dxa"/>
            </w:tcMar>
          </w:tcPr>
          <w:p w:rsidR="00000000" w:rsidRPr="004A4325" w:rsidP="004A4325">
            <w:pPr>
              <w:pStyle w:val="BodyText"/>
            </w:pPr>
            <w:r w:rsidRPr="004A4325">
              <w:t>Continuous improvement actions to support monitoring of digital supply chain services are documented</w:t>
            </w:r>
          </w:p>
        </w:tc>
      </w:tr>
    </w:tbl>
    <w:p w:rsidR="00000000" w:rsidRPr="004A4325" w:rsidP="004A4325">
      <w:pPr>
        <w:pStyle w:val="NoPaddingFontSize1"/>
      </w:pPr>
    </w:p>
    <w:p w:rsidR="00000000" w:rsidRPr="004A4325" w:rsidP="004A4325">
      <w:pPr>
        <w:pStyle w:val="AllowPageBreak"/>
      </w:pPr>
    </w:p>
    <w:p w:rsidR="00000000" w:rsidRPr="004A4325" w:rsidP="004A4325">
      <w:pPr>
        <w:pStyle w:val="Heading1"/>
      </w:pPr>
      <w:bookmarkStart w:id="7" w:name="O_1066449"/>
      <w:bookmarkEnd w:id="7"/>
      <w:r w:rsidRPr="004A4325">
        <w:t>Foundation Skills</w:t>
      </w:r>
    </w:p>
    <w:tbl>
      <w:tblPr>
        <w:tblW w:w="9497" w:type="dxa"/>
        <w:tblLayout w:type="fixed"/>
        <w:tblCellMar>
          <w:left w:w="62" w:type="dxa"/>
          <w:right w:w="62" w:type="dxa"/>
        </w:tblCellMar>
        <w:tblLook w:val="0000"/>
      </w:tblPr>
      <w:tblGrid>
        <w:gridCol w:w="9497"/>
      </w:tblGrid>
      <w:tr w:rsidTr="004A43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325" w:rsidP="004A4325">
            <w:pPr>
              <w:pStyle w:val="BodyText"/>
            </w:pPr>
            <w:r w:rsidRPr="004A4325">
              <w:t>Foundation skills essential to performance are explicit in the performance criteria of this unit of competency.</w:t>
            </w:r>
          </w:p>
        </w:tc>
      </w:tr>
    </w:tbl>
    <w:p w:rsidR="00000000" w:rsidRPr="004A4325" w:rsidP="004A4325">
      <w:pPr>
        <w:pStyle w:val="NoPaddingFontSize1"/>
      </w:pPr>
    </w:p>
    <w:p w:rsidR="00000000" w:rsidRPr="004A4325" w:rsidP="004A4325">
      <w:pPr>
        <w:pStyle w:val="AllowPageBreak"/>
      </w:pPr>
    </w:p>
    <w:p w:rsidR="00000000" w:rsidRPr="004A4325" w:rsidP="004A4325">
      <w:pPr>
        <w:pStyle w:val="Heading1"/>
      </w:pPr>
      <w:bookmarkStart w:id="8" w:name="O_1066450"/>
      <w:bookmarkEnd w:id="8"/>
      <w:r w:rsidRPr="004A4325">
        <w:t>Range of Conditions</w:t>
      </w:r>
    </w:p>
    <w:tbl>
      <w:tblPr>
        <w:tblW w:w="9497" w:type="dxa"/>
        <w:tblLayout w:type="fixed"/>
        <w:tblCellMar>
          <w:left w:w="62" w:type="dxa"/>
          <w:right w:w="62" w:type="dxa"/>
        </w:tblCellMar>
        <w:tblLook w:val="0000"/>
      </w:tblPr>
      <w:tblGrid>
        <w:gridCol w:w="9497"/>
      </w:tblGrid>
      <w:tr w:rsidTr="004A43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325" w:rsidP="004A4325">
            <w:pPr>
              <w:pStyle w:val="BodyText"/>
            </w:pPr>
            <w:r w:rsidRPr="004A4325">
              <w:t>Range is restricted to essential operating conditions and any other variables essential to the work env</w:t>
            </w:r>
            <w:r w:rsidRPr="004A4325">
              <w:t>ironment.</w:t>
            </w:r>
          </w:p>
          <w:p w:rsidR="00000000" w:rsidRPr="004A4325" w:rsidP="004A4325">
            <w:pPr>
              <w:pStyle w:val="BodyText"/>
            </w:pPr>
            <w:r w:rsidRPr="004A4325">
              <w:t>Non-essential conditions may be found in the Companion Volume Implementation Guide.</w:t>
            </w:r>
          </w:p>
        </w:tc>
      </w:tr>
    </w:tbl>
    <w:p w:rsidR="00000000" w:rsidRPr="004A4325" w:rsidP="004A4325">
      <w:pPr>
        <w:pStyle w:val="NoPaddingFontSize1"/>
      </w:pPr>
    </w:p>
    <w:p w:rsidR="00000000" w:rsidRPr="004A4325" w:rsidP="004A4325">
      <w:pPr>
        <w:pStyle w:val="AllowPageBreak"/>
      </w:pPr>
    </w:p>
    <w:p w:rsidR="00000000" w:rsidRPr="004A4325" w:rsidP="004A4325">
      <w:pPr>
        <w:pStyle w:val="Heading1"/>
      </w:pPr>
      <w:bookmarkStart w:id="9" w:name="O_1066451"/>
      <w:bookmarkEnd w:id="9"/>
      <w:r w:rsidRPr="004A4325">
        <w:t>Unit Mapping Information</w:t>
      </w:r>
    </w:p>
    <w:tbl>
      <w:tblPr>
        <w:tblW w:w="9497" w:type="dxa"/>
        <w:tblLayout w:type="fixed"/>
        <w:tblCellMar>
          <w:left w:w="62" w:type="dxa"/>
          <w:right w:w="62" w:type="dxa"/>
        </w:tblCellMar>
        <w:tblLook w:val="0000"/>
      </w:tblPr>
      <w:tblGrid>
        <w:gridCol w:w="9497"/>
      </w:tblGrid>
      <w:tr w:rsidTr="004A43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325" w:rsidP="004A4325">
            <w:pPr>
              <w:pStyle w:val="BodyText"/>
            </w:pPr>
            <w:r w:rsidRPr="004A4325">
              <w:t>This is a new unit. There is no equivalent unit.</w:t>
            </w:r>
          </w:p>
        </w:tc>
      </w:tr>
    </w:tbl>
    <w:p w:rsidR="00000000" w:rsidRPr="004A4325" w:rsidP="004A4325">
      <w:pPr>
        <w:pStyle w:val="NoPaddingFontSize1"/>
      </w:pPr>
    </w:p>
    <w:p w:rsidR="00000000" w:rsidRPr="004A4325" w:rsidP="004A4325">
      <w:pPr>
        <w:pStyle w:val="AllowPageBreak"/>
      </w:pPr>
    </w:p>
    <w:p w:rsidR="00000000" w:rsidRPr="004A4325" w:rsidP="004A4325">
      <w:pPr>
        <w:pStyle w:val="Heading1"/>
      </w:pPr>
      <w:bookmarkStart w:id="10" w:name="O_1066458"/>
      <w:bookmarkEnd w:id="10"/>
      <w:r w:rsidRPr="004A4325">
        <w:t>Links</w:t>
      </w:r>
    </w:p>
    <w:p w:rsidR="00000000" w:rsidRPr="004A4325" w:rsidP="00B66D25">
      <w:pPr>
        <w:pStyle w:val="BodyText"/>
      </w:pPr>
      <w:r w:rsidRPr="004A432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74C03">
        <w:rPr>
          <w:rStyle w:val="Hyperlink"/>
        </w:rPr>
        <w:t>https://vetnet.gov.au/Pages/TrainingDocs.aspx?q=df441c6e-213d-43e3-874c-0b3f7036d851</w:t>
      </w:r>
      <w:r>
        <w:fldChar w:fldCharType="end"/>
      </w:r>
    </w:p>
    <w:p w:rsidR="00000000" w:rsidRPr="004A4325" w:rsidP="00B66D25">
      <w:pPr>
        <w:pStyle w:val="BodyText"/>
        <w:sectPr w:rsidSect="004A4325">
          <w:headerReference w:type="default" r:id="rId10"/>
          <w:footerReference w:type="default" r:id="rId11"/>
          <w:pgSz w:w="11908" w:h="16833"/>
          <w:pgMar w:top="1702" w:right="1418" w:bottom="1702" w:left="1418" w:header="992" w:footer="992" w:gutter="0"/>
          <w:cols w:space="720"/>
          <w:noEndnote/>
          <w:docGrid w:linePitch="299"/>
        </w:sectPr>
      </w:pPr>
    </w:p>
    <w:p w:rsidR="00000000" w:rsidRPr="004A4325" w:rsidP="004A4325">
      <w:pPr>
        <w:pStyle w:val="SuperHeading"/>
      </w:pPr>
      <w:r w:rsidRPr="004A4325">
        <w:t>Assessment Requirements for TLIX0019X Monitor digital supply ch</w:t>
      </w:r>
      <w:r w:rsidRPr="004A4325">
        <w:t>ain services</w:t>
      </w:r>
    </w:p>
    <w:p w:rsidR="00000000" w:rsidRPr="004A4325" w:rsidP="004A4325">
      <w:pPr>
        <w:pStyle w:val="Heading1"/>
      </w:pPr>
      <w:bookmarkStart w:id="11" w:name="O_1066453"/>
      <w:bookmarkEnd w:id="11"/>
      <w:r w:rsidRPr="004A4325">
        <w:t>Modification History</w:t>
      </w:r>
    </w:p>
    <w:tbl>
      <w:tblPr>
        <w:tblW w:w="9497" w:type="dxa"/>
        <w:tblLayout w:type="fixed"/>
        <w:tblCellMar>
          <w:left w:w="62" w:type="dxa"/>
          <w:right w:w="62" w:type="dxa"/>
        </w:tblCellMar>
        <w:tblLook w:val="0000"/>
      </w:tblPr>
      <w:tblGrid>
        <w:gridCol w:w="9497"/>
      </w:tblGrid>
      <w:tr w:rsidTr="004A43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325" w:rsidP="004A4325">
            <w:pPr>
              <w:pStyle w:val="BodyText"/>
            </w:pPr>
            <w:r w:rsidRPr="004A4325">
              <w:rPr>
                <w:rStyle w:val="SpecialBold"/>
              </w:rPr>
              <w:t xml:space="preserve">Release 1. </w:t>
            </w:r>
            <w:r w:rsidRPr="004A4325">
              <w:t>This is the first release of this unit of competency in the TLI Transport and Logistics Training Package.</w:t>
            </w:r>
          </w:p>
        </w:tc>
      </w:tr>
    </w:tbl>
    <w:p w:rsidR="00000000" w:rsidRPr="004A4325" w:rsidP="004A4325">
      <w:pPr>
        <w:pStyle w:val="NoPaddingFontSize1"/>
      </w:pPr>
    </w:p>
    <w:p w:rsidR="00000000" w:rsidRPr="004A4325" w:rsidP="004A4325">
      <w:pPr>
        <w:pStyle w:val="AllowPageBreak"/>
      </w:pPr>
    </w:p>
    <w:p w:rsidR="00000000" w:rsidRPr="004A4325" w:rsidP="004A4325">
      <w:pPr>
        <w:pStyle w:val="Heading1"/>
      </w:pPr>
      <w:bookmarkStart w:id="12" w:name="O_1066454"/>
      <w:bookmarkEnd w:id="12"/>
      <w:r w:rsidRPr="004A4325">
        <w:t>Performance Evidence</w:t>
      </w:r>
    </w:p>
    <w:tbl>
      <w:tblPr>
        <w:tblW w:w="9497" w:type="dxa"/>
        <w:tblLayout w:type="fixed"/>
        <w:tblCellMar>
          <w:left w:w="62" w:type="dxa"/>
          <w:right w:w="62" w:type="dxa"/>
        </w:tblCellMar>
        <w:tblLook w:val="0000"/>
      </w:tblPr>
      <w:tblGrid>
        <w:gridCol w:w="9497"/>
      </w:tblGrid>
      <w:tr w:rsidTr="004A43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A4325">
            <w:pPr>
              <w:pStyle w:val="BodyText"/>
              <w:rPr>
                <w:lang w:val="en-NZ"/>
              </w:rPr>
            </w:pPr>
            <w:r w:rsidRPr="004A4325">
              <w:t>Evidence required to demonstrate competence i</w:t>
            </w:r>
            <w:r w:rsidRPr="004A4325">
              <w:t>n this unit must be relevant to and satisfy all the requirements of the elements and performance criteria on at least one occasion and includes</w:t>
            </w:r>
          </w:p>
        </w:tc>
      </w:tr>
      <w:tr w:rsidTr="004A43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325" w:rsidP="004A4325">
            <w:pPr>
              <w:pStyle w:val="ListBullet"/>
            </w:pPr>
            <w:r w:rsidRPr="004A4325">
              <w:t xml:space="preserve">collating and reviewing data for digital supply chain services </w:t>
            </w:r>
          </w:p>
          <w:p w:rsidR="00000000" w:rsidRPr="004A4325" w:rsidP="004A4325">
            <w:pPr>
              <w:pStyle w:val="ListBullet"/>
            </w:pPr>
            <w:r w:rsidRPr="004A4325">
              <w:t xml:space="preserve">confirming level of authority and assigned responsibilities </w:t>
            </w:r>
          </w:p>
          <w:p w:rsidR="00000000" w:rsidRPr="004A4325" w:rsidP="004A4325">
            <w:pPr>
              <w:pStyle w:val="ListBullet"/>
            </w:pPr>
            <w:r w:rsidRPr="004A4325">
              <w:t xml:space="preserve">determining industry standards, policies, procedures and processes for monitoring digital supply chain services </w:t>
            </w:r>
          </w:p>
          <w:p w:rsidR="00000000" w:rsidRPr="004A4325" w:rsidP="004A4325">
            <w:pPr>
              <w:pStyle w:val="ListBullet"/>
            </w:pPr>
            <w:r w:rsidRPr="004A4325">
              <w:t>documenting continuous improvement recommendations</w:t>
            </w:r>
          </w:p>
          <w:p w:rsidR="00000000" w:rsidRPr="004A4325" w:rsidP="004A4325">
            <w:pPr>
              <w:pStyle w:val="ListBullet"/>
            </w:pPr>
            <w:r w:rsidRPr="004A4325">
              <w:t>identifying stakeholder relatio</w:t>
            </w:r>
            <w:r w:rsidRPr="004A4325">
              <w:t xml:space="preserve">nships, products and responsibilities </w:t>
            </w:r>
          </w:p>
          <w:p w:rsidR="00000000" w:rsidRPr="004A4325" w:rsidP="004A4325">
            <w:pPr>
              <w:pStyle w:val="ListBullet"/>
            </w:pPr>
            <w:r w:rsidRPr="004A4325">
              <w:t xml:space="preserve">identifying services used in the digital supply chain </w:t>
            </w:r>
          </w:p>
          <w:p w:rsidR="00000000" w:rsidRPr="004A4325" w:rsidP="004A4325">
            <w:pPr>
              <w:pStyle w:val="ListBullet"/>
            </w:pPr>
            <w:r w:rsidRPr="004A4325">
              <w:t xml:space="preserve">preparing and presenting reports </w:t>
            </w:r>
          </w:p>
          <w:p w:rsidR="00000000" w:rsidRPr="004A4325" w:rsidP="004A4325">
            <w:pPr>
              <w:pStyle w:val="ListBullet"/>
            </w:pPr>
            <w:r w:rsidRPr="004A4325">
              <w:t>using approved methods and tools to monitor digital chain supply services including:</w:t>
            </w:r>
          </w:p>
          <w:p w:rsidR="00000000" w:rsidRPr="004A4325" w:rsidP="004A4325">
            <w:pPr>
              <w:pStyle w:val="ListBullet2"/>
            </w:pPr>
            <w:r w:rsidRPr="004A4325">
              <w:t xml:space="preserve">compliance and non-compliance remediation </w:t>
            </w:r>
          </w:p>
          <w:p w:rsidR="00000000" w:rsidRPr="004A4325" w:rsidP="004A4325">
            <w:pPr>
              <w:pStyle w:val="ListBullet2"/>
            </w:pPr>
            <w:r w:rsidRPr="004A4325">
              <w:t>demand and inventory levels</w:t>
            </w:r>
          </w:p>
          <w:p w:rsidR="00000000" w:rsidRPr="004A4325" w:rsidP="004A4325">
            <w:pPr>
              <w:pStyle w:val="ListBullet2"/>
            </w:pPr>
            <w:r w:rsidRPr="004A4325">
              <w:t>Key Performance Indicators (KPIs)</w:t>
            </w:r>
          </w:p>
          <w:p w:rsidR="00000000" w:rsidRPr="004A4325" w:rsidP="004A4325">
            <w:pPr>
              <w:pStyle w:val="ListBullet2"/>
            </w:pPr>
            <w:r w:rsidRPr="004A4325">
              <w:t xml:space="preserve">logistics and deliveries </w:t>
            </w:r>
          </w:p>
          <w:p w:rsidR="00000000" w:rsidRPr="004A4325" w:rsidP="004A4325">
            <w:pPr>
              <w:pStyle w:val="ListBullet2"/>
            </w:pPr>
            <w:r w:rsidRPr="004A4325">
              <w:t>quality control</w:t>
            </w:r>
          </w:p>
          <w:p w:rsidR="00000000" w:rsidRPr="004A4325" w:rsidP="004A4325">
            <w:pPr>
              <w:pStyle w:val="ListBullet2"/>
            </w:pPr>
            <w:r w:rsidRPr="004A4325">
              <w:t>risks</w:t>
            </w:r>
          </w:p>
          <w:p w:rsidR="00000000" w:rsidRPr="004A4325" w:rsidP="004A4325">
            <w:pPr>
              <w:pStyle w:val="ListBullet2"/>
            </w:pPr>
            <w:r w:rsidRPr="004A4325">
              <w:t>security measures and vulnerabilities</w:t>
            </w:r>
          </w:p>
          <w:p w:rsidR="00000000" w:rsidRPr="004A4325" w:rsidP="004A4325">
            <w:pPr>
              <w:pStyle w:val="ListBullet"/>
            </w:pPr>
            <w:r w:rsidRPr="004A4325">
              <w:t>validating data collection methods and processes</w:t>
            </w:r>
          </w:p>
          <w:p w:rsidR="00000000" w:rsidRPr="004A4325" w:rsidP="004A4325">
            <w:pPr>
              <w:pStyle w:val="ListBullet"/>
            </w:pPr>
            <w:r w:rsidRPr="004A4325">
              <w:t>verifying quality control and compliance systems.</w:t>
            </w:r>
          </w:p>
        </w:tc>
      </w:tr>
    </w:tbl>
    <w:p w:rsidR="00000000" w:rsidRPr="004A4325" w:rsidP="004A4325">
      <w:pPr>
        <w:pStyle w:val="NoPaddingFontSize1"/>
      </w:pPr>
    </w:p>
    <w:p w:rsidR="00000000" w:rsidRPr="004A4325" w:rsidP="004A4325">
      <w:pPr>
        <w:pStyle w:val="AllowPageBreak"/>
      </w:pPr>
    </w:p>
    <w:p w:rsidR="00000000" w:rsidRPr="004A4325" w:rsidP="004A4325">
      <w:pPr>
        <w:pStyle w:val="Heading1"/>
      </w:pPr>
      <w:bookmarkStart w:id="13" w:name="O_1066455"/>
      <w:bookmarkEnd w:id="13"/>
      <w:r w:rsidRPr="004A4325">
        <w:t>Knowledge Evidence</w:t>
      </w:r>
    </w:p>
    <w:tbl>
      <w:tblPr>
        <w:tblW w:w="9497" w:type="dxa"/>
        <w:tblLayout w:type="fixed"/>
        <w:tblCellMar>
          <w:left w:w="62" w:type="dxa"/>
          <w:right w:w="62" w:type="dxa"/>
        </w:tblCellMar>
        <w:tblLook w:val="0000"/>
      </w:tblPr>
      <w:tblGrid>
        <w:gridCol w:w="9497"/>
      </w:tblGrid>
      <w:tr w:rsidTr="004A43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A4325">
            <w:pPr>
              <w:pStyle w:val="BodyText"/>
              <w:rPr>
                <w:lang w:val="en-NZ"/>
              </w:rPr>
            </w:pPr>
            <w:r w:rsidRPr="004A4325">
              <w:t>Evidence required to demonstrate competence in this unit must be relevant to and satisfy all the requirements of the elements and performance criteria and includes knowledge of</w:t>
            </w:r>
          </w:p>
        </w:tc>
      </w:tr>
      <w:tr w:rsidTr="004A43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325" w:rsidP="004A4325">
            <w:pPr>
              <w:pStyle w:val="ListBullet"/>
            </w:pPr>
            <w:r w:rsidRPr="004A4325">
              <w:t>continuous improvement principles</w:t>
            </w:r>
          </w:p>
          <w:p w:rsidR="00000000" w:rsidRPr="004A4325" w:rsidP="004A4325">
            <w:pPr>
              <w:pStyle w:val="ListBullet"/>
            </w:pPr>
            <w:r w:rsidRPr="004A4325">
              <w:t>data a</w:t>
            </w:r>
            <w:r w:rsidRPr="004A4325">
              <w:t xml:space="preserve">nalysis </w:t>
            </w:r>
          </w:p>
          <w:p w:rsidR="00000000" w:rsidRPr="004A4325" w:rsidP="004A4325">
            <w:pPr>
              <w:pStyle w:val="ListBullet"/>
            </w:pPr>
            <w:r w:rsidRPr="004A4325">
              <w:t>data collection methods and tools</w:t>
            </w:r>
          </w:p>
          <w:p w:rsidR="00000000" w:rsidRPr="004A4325" w:rsidP="004A4325">
            <w:pPr>
              <w:pStyle w:val="ListBullet"/>
            </w:pPr>
            <w:r w:rsidRPr="004A4325">
              <w:t xml:space="preserve">industry standards and policies, procedures and processes for monitoring digital supply chain services </w:t>
            </w:r>
          </w:p>
          <w:p w:rsidR="00000000" w:rsidRPr="004A4325" w:rsidP="004A4325">
            <w:pPr>
              <w:pStyle w:val="ListBullet"/>
            </w:pPr>
            <w:r w:rsidRPr="004A4325">
              <w:t xml:space="preserve">Key Performance Indicators (KPIs)  </w:t>
            </w:r>
          </w:p>
          <w:p w:rsidR="00000000" w:rsidRPr="004A4325" w:rsidP="004A4325">
            <w:pPr>
              <w:pStyle w:val="ListBullet"/>
            </w:pPr>
            <w:r w:rsidRPr="004A4325">
              <w:t xml:space="preserve">methods and tools for monitoring levels of demand, inventory, logistics, </w:t>
            </w:r>
            <w:r w:rsidRPr="004A4325">
              <w:t xml:space="preserve">quality control, risks, vulnerabilities, compliance and security measures in digital supply chain services </w:t>
            </w:r>
          </w:p>
          <w:p w:rsidR="00000000" w:rsidRPr="004A4325" w:rsidP="004A4325">
            <w:pPr>
              <w:pStyle w:val="ListBullet"/>
            </w:pPr>
            <w:r w:rsidRPr="004A4325">
              <w:t>preparation and presentation of reports</w:t>
            </w:r>
          </w:p>
          <w:p w:rsidR="00000000" w:rsidRPr="004A4325" w:rsidP="004A4325">
            <w:pPr>
              <w:pStyle w:val="ListBullet"/>
            </w:pPr>
            <w:r w:rsidRPr="004A4325">
              <w:t>quality control and compliance systems</w:t>
            </w:r>
          </w:p>
          <w:p w:rsidR="00000000" w:rsidRPr="004A4325" w:rsidP="004A4325">
            <w:pPr>
              <w:pStyle w:val="ListBullet"/>
            </w:pPr>
            <w:r w:rsidRPr="004A4325">
              <w:t xml:space="preserve">remediation actions for non-compliance </w:t>
            </w:r>
          </w:p>
          <w:p w:rsidR="00000000" w:rsidRPr="004A4325" w:rsidP="004A4325">
            <w:pPr>
              <w:pStyle w:val="ListBullet"/>
            </w:pPr>
            <w:r w:rsidRPr="004A4325">
              <w:t>stakeholder relationships, pr</w:t>
            </w:r>
            <w:r w:rsidRPr="004A4325">
              <w:t>oducts and responsibilities in digital supply chain services</w:t>
            </w:r>
          </w:p>
          <w:p w:rsidR="00000000" w:rsidRPr="004A4325" w:rsidP="004A4325">
            <w:pPr>
              <w:pStyle w:val="ListBullet"/>
            </w:pPr>
            <w:r w:rsidRPr="004A4325">
              <w:t xml:space="preserve">types of services used in digital supply chain. </w:t>
            </w:r>
          </w:p>
        </w:tc>
      </w:tr>
    </w:tbl>
    <w:p w:rsidR="00000000" w:rsidRPr="004A4325" w:rsidP="004A4325">
      <w:pPr>
        <w:pStyle w:val="NoPaddingFontSize1"/>
      </w:pPr>
    </w:p>
    <w:p w:rsidR="00000000" w:rsidRPr="004A4325" w:rsidP="004A4325">
      <w:pPr>
        <w:pStyle w:val="AllowPageBreak"/>
      </w:pPr>
    </w:p>
    <w:p w:rsidR="00000000" w:rsidRPr="004A4325" w:rsidP="004A4325">
      <w:pPr>
        <w:pStyle w:val="Heading1"/>
      </w:pPr>
      <w:bookmarkStart w:id="14" w:name="O_1066456"/>
      <w:bookmarkEnd w:id="14"/>
      <w:r w:rsidRPr="004A4325">
        <w:t>Assessment Conditions</w:t>
      </w:r>
    </w:p>
    <w:tbl>
      <w:tblPr>
        <w:tblW w:w="9497" w:type="dxa"/>
        <w:tblLayout w:type="fixed"/>
        <w:tblCellMar>
          <w:left w:w="62" w:type="dxa"/>
          <w:right w:w="62" w:type="dxa"/>
        </w:tblCellMar>
        <w:tblLook w:val="0000"/>
      </w:tblPr>
      <w:tblGrid>
        <w:gridCol w:w="9497"/>
      </w:tblGrid>
      <w:tr w:rsidTr="004A43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325" w:rsidP="004A4325">
            <w:pPr>
              <w:pStyle w:val="BodyText"/>
            </w:pPr>
            <w:r w:rsidRPr="004A4325">
              <w:t xml:space="preserve">Assessors must hold credentials specified within the Standards for Registered Training Organisations current at the time of assessment. </w:t>
            </w:r>
          </w:p>
          <w:p w:rsidR="00000000" w:rsidRPr="004A4325" w:rsidP="004A4325">
            <w:pPr>
              <w:pStyle w:val="BodyText"/>
            </w:pPr>
            <w:r w:rsidRPr="004A4325">
              <w:t>Assessment must satisfy the Principles of Assessment and Rules of Evidence and all regulatory requirements included wit</w:t>
            </w:r>
            <w:r w:rsidRPr="004A4325">
              <w:t>hin the Standards for Registered Training Organisations current at the time of assessment.</w:t>
            </w:r>
          </w:p>
          <w:p w:rsidR="00000000" w:rsidRPr="004A4325" w:rsidP="004A4325">
            <w:pPr>
              <w:pStyle w:val="BodyText"/>
            </w:pPr>
            <w:r w:rsidRPr="004A4325">
              <w:t>Assessment must occur in workplace operational situations where it is appropriate to do so. Where this is not appropriate, assessment must occur in simulated workpla</w:t>
            </w:r>
            <w:r w:rsidRPr="004A4325">
              <w:t>ce operational situations that replicate workplace conditions.</w:t>
            </w:r>
          </w:p>
          <w:p w:rsidR="00000000" w:rsidRPr="004A4325" w:rsidP="004A4325">
            <w:pPr>
              <w:pStyle w:val="BodyText"/>
            </w:pPr>
            <w:r w:rsidRPr="004A4325">
              <w:t>Assessment processes and techniques must be appropriate to the language, literacy and numeracy requirements of the work being performed and the needs of the candidate.</w:t>
            </w:r>
          </w:p>
          <w:p w:rsidR="00000000" w:rsidRPr="004A4325" w:rsidP="004A4325">
            <w:pPr>
              <w:pStyle w:val="BodyText"/>
            </w:pPr>
            <w:r w:rsidRPr="004A4325">
              <w:t xml:space="preserve">Resources for assessment </w:t>
            </w:r>
            <w:r w:rsidRPr="004A4325">
              <w:t>must include access to a range of</w:t>
            </w:r>
          </w:p>
          <w:p w:rsidR="00000000" w:rsidRPr="004A4325" w:rsidP="004A4325">
            <w:pPr>
              <w:pStyle w:val="ListBullet"/>
            </w:pPr>
            <w:r w:rsidRPr="004A4325">
              <w:t>exercises, case studies or other simulations</w:t>
            </w:r>
          </w:p>
          <w:p w:rsidR="00000000" w:rsidRPr="004A4325" w:rsidP="004A4325">
            <w:pPr>
              <w:pStyle w:val="ListBullet"/>
            </w:pPr>
            <w:r w:rsidRPr="004A4325">
              <w:t xml:space="preserve">materials and tools including digital supply chain equipment used in industry </w:t>
            </w:r>
          </w:p>
          <w:p w:rsidR="00000000" w:rsidRPr="004A4325" w:rsidP="004A4325">
            <w:pPr>
              <w:pStyle w:val="ListBullet"/>
            </w:pPr>
            <w:r w:rsidRPr="004A4325">
              <w:t xml:space="preserve">documentation including organisational policies and procedures, industry standards, regulations, </w:t>
            </w:r>
            <w:r w:rsidRPr="004A4325">
              <w:t>codes of practice, operational manuals and equipment specifications.</w:t>
            </w:r>
            <w:r w:rsidRPr="004A4325">
              <w:tab/>
            </w:r>
          </w:p>
        </w:tc>
      </w:tr>
    </w:tbl>
    <w:p w:rsidR="00000000" w:rsidRPr="004A4325" w:rsidP="004A4325">
      <w:pPr>
        <w:pStyle w:val="NoPaddingFontSize1"/>
      </w:pPr>
    </w:p>
    <w:p w:rsidR="00000000" w:rsidRPr="004A4325" w:rsidP="004A4325">
      <w:pPr>
        <w:pStyle w:val="AllowPageBreak"/>
      </w:pPr>
    </w:p>
    <w:p w:rsidR="00000000" w:rsidRPr="004A4325" w:rsidP="004A4325">
      <w:pPr>
        <w:pStyle w:val="Heading1"/>
      </w:pPr>
      <w:bookmarkStart w:id="15" w:name="O_1066459"/>
      <w:bookmarkEnd w:id="15"/>
      <w:r w:rsidRPr="004A4325">
        <w:t>Links</w:t>
      </w:r>
    </w:p>
    <w:p w:rsidR="00000000" w:rsidRPr="004A4325" w:rsidP="00B66D25">
      <w:pPr>
        <w:pStyle w:val="BodyText"/>
      </w:pPr>
      <w:r w:rsidRPr="004A432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74C03">
        <w:rPr>
          <w:rStyle w:val="Hyperlink"/>
        </w:rPr>
        <w:t>https://vetnet.gov.au/Pages/TrainingDocs.aspx?q=df441c6e-213d-43e3-874c-0b3f7036d851</w:t>
      </w:r>
      <w:r>
        <w:fldChar w:fldCharType="end"/>
      </w:r>
    </w:p>
    <w:p w:rsidR="00000000" w:rsidRPr="004A4325" w:rsidP="004A4325"/>
    <w:sectPr w:rsidSect="004A432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3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325" w:rsidRPr="00B66D25" w:rsidP="00B66D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3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D25" w:rsidP="004A43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6D25" w:rsidP="004A432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66D25" w:rsidP="004A432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325" w:rsidP="004A4325">
    <w:pPr>
      <w:pStyle w:val="Footer"/>
      <w:framePr w:wrap="around"/>
    </w:pPr>
    <w:r>
      <w:fldChar w:fldCharType="begin"/>
    </w:r>
    <w:r>
      <w:instrText xml:space="preserve"> DOCPROPERTY  Subject  \* MERGEFORMAT </w:instrText>
    </w:r>
    <w:r>
      <w:fldChar w:fldCharType="separate"/>
    </w:r>
    <w:r w:rsidR="00B66D25">
      <w:t>Approved</w:t>
    </w:r>
    <w:r w:rsidR="00B66D25">
      <w:fldChar w:fldCharType="end"/>
    </w:r>
    <w:r>
      <w:tab/>
      <w:t xml:space="preserve">Page </w:t>
    </w:r>
    <w:r>
      <w:fldChar w:fldCharType="begin"/>
    </w:r>
    <w:r>
      <w:instrText xml:space="preserve"> PAGE  \* Arabic  \* MERGEFORMAT </w:instrText>
    </w:r>
    <w:r>
      <w:fldChar w:fldCharType="separate"/>
    </w:r>
    <w:r w:rsidR="00B66D2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6D25">
      <w:rPr>
        <w:noProof/>
      </w:rPr>
      <w:t>4</w:t>
    </w:r>
    <w:r>
      <w:rPr>
        <w:noProof/>
      </w:rPr>
      <w:fldChar w:fldCharType="end"/>
    </w:r>
  </w:p>
  <w:p w:rsidR="004A4325" w:rsidP="004A4325">
    <w:pPr>
      <w:pStyle w:val="Footer"/>
      <w:framePr w:wrap="around"/>
    </w:pPr>
    <w:r>
      <w:t xml:space="preserve">© Commonwealth of Australia, </w:t>
    </w:r>
    <w:r>
      <w:fldChar w:fldCharType="begin"/>
    </w:r>
    <w:r>
      <w:instrText xml:space="preserve"> DATE  \@ "yyyy"  \* MERGEFORMAT </w:instrText>
    </w:r>
    <w:r>
      <w:fldChar w:fldCharType="separate"/>
    </w:r>
    <w:r w:rsidR="00B66D25">
      <w:rPr>
        <w:noProof/>
      </w:rPr>
      <w:t>2025</w:t>
    </w:r>
    <w:r>
      <w:fldChar w:fldCharType="end"/>
    </w:r>
    <w:r>
      <w:tab/>
    </w:r>
    <w:r>
      <w:fldChar w:fldCharType="begin"/>
    </w:r>
    <w:r>
      <w:instrText xml:space="preserve"> DOCPROPERTY  Author  \* MERGEFORMAT </w:instrText>
    </w:r>
    <w:r>
      <w:fldChar w:fldCharType="separate"/>
    </w:r>
    <w:r w:rsidR="00B66D25">
      <w:t>Industry Skills Australia</w:t>
    </w:r>
    <w:r w:rsidR="00B66D25">
      <w:fldChar w:fldCharType="end"/>
    </w:r>
  </w:p>
  <w:p w:rsidR="004A4325" w:rsidP="004A43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3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D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4325" w:rsidRPr="00B66D25" w:rsidP="00B66D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3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D25" w:rsidRPr="002D2AF8" w:rsidP="004A4325">
    <w:pPr>
      <w:pStyle w:val="Header"/>
      <w:framePr w:wrap="around"/>
    </w:pPr>
    <w:r>
      <w:fldChar w:fldCharType="begin"/>
    </w:r>
    <w:r>
      <w:instrText xml:space="preserve"> TITLE   \* MERGEFORMAT </w:instrText>
    </w:r>
    <w:r>
      <w:fldChar w:fldCharType="separate"/>
    </w:r>
    <w:r>
      <w:t>TLIX0019X Monitor digital supply chain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6D25" w:rsidP="004A432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325" w:rsidRPr="002D2AF8" w:rsidP="004A4325">
    <w:pPr>
      <w:pStyle w:val="Header"/>
      <w:framePr w:wrap="around"/>
    </w:pPr>
    <w:r>
      <w:fldChar w:fldCharType="begin"/>
    </w:r>
    <w:r>
      <w:instrText xml:space="preserve"> TITLE   \* MERGEFORMAT </w:instrText>
    </w:r>
    <w:r>
      <w:fldChar w:fldCharType="separate"/>
    </w:r>
    <w:r w:rsidR="00B66D25">
      <w:t>TLIX0019X Monitor digital supply chain services</w:t>
    </w:r>
    <w:r w:rsidR="00B66D25">
      <w:fldChar w:fldCharType="end"/>
    </w:r>
    <w:r>
      <w:tab/>
      <w:t xml:space="preserve">Date this document was generated: </w:t>
    </w:r>
    <w:r>
      <w:fldChar w:fldCharType="begin"/>
    </w:r>
    <w:r>
      <w:instrText xml:space="preserve"> CREATEDATE  \@ "d MMMM yyyy"  \* MERGEFORMAT </w:instrText>
    </w:r>
    <w:r>
      <w:fldChar w:fldCharType="separate"/>
    </w:r>
    <w:r w:rsidR="00B66D25">
      <w:rPr>
        <w:noProof/>
      </w:rPr>
      <w:t>2 March 2025</w:t>
    </w:r>
    <w:r>
      <w:fldChar w:fldCharType="end"/>
    </w:r>
  </w:p>
  <w:p w:rsidR="004A4325" w:rsidP="004A43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7C55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4A2C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EE52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3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4325"/>
    <w:pPr>
      <w:spacing w:before="360" w:after="60"/>
      <w:outlineLvl w:val="0"/>
    </w:pPr>
    <w:rPr>
      <w:sz w:val="32"/>
    </w:rPr>
  </w:style>
  <w:style w:type="paragraph" w:styleId="Heading2">
    <w:name w:val="heading 2"/>
    <w:basedOn w:val="HeadingBase"/>
    <w:next w:val="BodyText"/>
    <w:link w:val="Heading2Char"/>
    <w:qFormat/>
    <w:rsid w:val="004A4325"/>
    <w:pPr>
      <w:keepLines/>
      <w:spacing w:before="240" w:after="120"/>
      <w:outlineLvl w:val="1"/>
    </w:pPr>
    <w:rPr>
      <w:sz w:val="28"/>
      <w:szCs w:val="40"/>
    </w:rPr>
  </w:style>
  <w:style w:type="paragraph" w:styleId="Heading3">
    <w:name w:val="heading 3"/>
    <w:basedOn w:val="HeadingBase"/>
    <w:next w:val="BodyText"/>
    <w:link w:val="Heading3Char"/>
    <w:qFormat/>
    <w:rsid w:val="004A4325"/>
    <w:pPr>
      <w:spacing w:before="180" w:after="120"/>
      <w:outlineLvl w:val="2"/>
    </w:pPr>
    <w:rPr>
      <w:spacing w:val="-10"/>
      <w:kern w:val="32"/>
    </w:rPr>
  </w:style>
  <w:style w:type="paragraph" w:styleId="Heading4">
    <w:name w:val="heading 4"/>
    <w:basedOn w:val="HeadingBase"/>
    <w:next w:val="BodyText"/>
    <w:link w:val="Heading4Char"/>
    <w:qFormat/>
    <w:rsid w:val="004A4325"/>
    <w:pPr>
      <w:spacing w:before="160" w:after="120"/>
      <w:outlineLvl w:val="3"/>
    </w:pPr>
    <w:rPr>
      <w:sz w:val="22"/>
    </w:rPr>
  </w:style>
  <w:style w:type="paragraph" w:styleId="Heading5">
    <w:name w:val="heading 5"/>
    <w:basedOn w:val="HeadingBase"/>
    <w:next w:val="Normal"/>
    <w:link w:val="Heading5Char"/>
    <w:qFormat/>
    <w:rsid w:val="004A4325"/>
    <w:pPr>
      <w:spacing w:before="80"/>
      <w:outlineLvl w:val="4"/>
    </w:pPr>
    <w:rPr>
      <w:color w:val="918585"/>
      <w:sz w:val="20"/>
    </w:rPr>
  </w:style>
  <w:style w:type="paragraph" w:styleId="Heading6">
    <w:name w:val="heading 6"/>
    <w:basedOn w:val="HeadingBase"/>
    <w:next w:val="Normal"/>
    <w:link w:val="Heading6Char"/>
    <w:qFormat/>
    <w:rsid w:val="004A4325"/>
    <w:pPr>
      <w:spacing w:before="60"/>
      <w:outlineLvl w:val="5"/>
    </w:pPr>
    <w:rPr>
      <w:color w:val="918585"/>
      <w:sz w:val="20"/>
    </w:rPr>
  </w:style>
  <w:style w:type="paragraph" w:styleId="Heading7">
    <w:name w:val="heading 7"/>
    <w:basedOn w:val="Normal"/>
    <w:next w:val="Normal"/>
    <w:link w:val="Heading7Char"/>
    <w:qFormat/>
    <w:rsid w:val="004A4325"/>
    <w:pPr>
      <w:ind w:left="720"/>
      <w:outlineLvl w:val="6"/>
    </w:pPr>
    <w:rPr>
      <w:i/>
    </w:rPr>
  </w:style>
  <w:style w:type="paragraph" w:styleId="Heading8">
    <w:name w:val="heading 8"/>
    <w:basedOn w:val="Normal"/>
    <w:next w:val="Normal"/>
    <w:link w:val="Heading8Char"/>
    <w:qFormat/>
    <w:rsid w:val="004A4325"/>
    <w:pPr>
      <w:ind w:left="720"/>
      <w:outlineLvl w:val="7"/>
    </w:pPr>
    <w:rPr>
      <w:i/>
    </w:rPr>
  </w:style>
  <w:style w:type="paragraph" w:styleId="Heading9">
    <w:name w:val="heading 9"/>
    <w:basedOn w:val="Normal"/>
    <w:next w:val="Normal"/>
    <w:link w:val="Heading9Char"/>
    <w:qFormat/>
    <w:rsid w:val="004A4325"/>
    <w:pPr>
      <w:ind w:left="720"/>
      <w:outlineLvl w:val="8"/>
    </w:pPr>
    <w:rPr>
      <w:i/>
    </w:rPr>
  </w:style>
  <w:style w:type="character" w:default="1" w:styleId="DefaultParagraphFont">
    <w:name w:val="Default Paragraph Font"/>
    <w:uiPriority w:val="1"/>
    <w:unhideWhenUsed/>
    <w:rsid w:val="004A43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4325"/>
  </w:style>
  <w:style w:type="character" w:customStyle="1" w:styleId="Heading1Char">
    <w:name w:val="Heading 1 Char"/>
    <w:basedOn w:val="DefaultParagraphFont"/>
    <w:link w:val="Heading1"/>
    <w:rsid w:val="004A4325"/>
    <w:rPr>
      <w:rFonts w:ascii="Times New Roman" w:eastAsia="Times New Roman" w:hAnsi="Times New Roman" w:cs="Times New Roman"/>
      <w:b/>
      <w:sz w:val="32"/>
      <w:szCs w:val="20"/>
      <w:lang w:eastAsia="en-US"/>
    </w:rPr>
  </w:style>
  <w:style w:type="paragraph" w:styleId="BodyText">
    <w:name w:val="Body Text"/>
    <w:basedOn w:val="Normal"/>
    <w:link w:val="BodyTextChar"/>
    <w:rsid w:val="004A43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4325"/>
    <w:rPr>
      <w:rFonts w:ascii="Times New Roman" w:eastAsia="Times New Roman" w:hAnsi="Times New Roman" w:cs="Times New Roman"/>
      <w:sz w:val="24"/>
      <w:lang w:eastAsia="en-US"/>
    </w:rPr>
  </w:style>
  <w:style w:type="paragraph" w:styleId="ListBullet">
    <w:name w:val="List Bullet"/>
    <w:basedOn w:val="List"/>
    <w:rsid w:val="004A4325"/>
    <w:pPr>
      <w:numPr>
        <w:numId w:val="12"/>
      </w:numPr>
      <w:tabs>
        <w:tab w:val="clear" w:pos="340"/>
      </w:tabs>
      <w:spacing w:before="40" w:after="40"/>
    </w:pPr>
  </w:style>
  <w:style w:type="character" w:customStyle="1" w:styleId="SpecialBold">
    <w:name w:val="Special Bold"/>
    <w:basedOn w:val="DefaultParagraphFont"/>
    <w:rsid w:val="004A4325"/>
    <w:rPr>
      <w:b/>
      <w:spacing w:val="0"/>
    </w:rPr>
  </w:style>
  <w:style w:type="paragraph" w:styleId="ListBullet2">
    <w:name w:val="List Bullet 2"/>
    <w:basedOn w:val="List2"/>
    <w:rsid w:val="004A4325"/>
    <w:pPr>
      <w:numPr>
        <w:numId w:val="13"/>
      </w:numPr>
      <w:tabs>
        <w:tab w:val="clear" w:pos="680"/>
      </w:tabs>
    </w:pPr>
  </w:style>
  <w:style w:type="paragraph" w:customStyle="1" w:styleId="SuperHeading">
    <w:name w:val="SuperHeading"/>
    <w:basedOn w:val="Normal"/>
    <w:rsid w:val="004A4325"/>
    <w:pPr>
      <w:spacing w:before="240" w:after="120"/>
      <w:outlineLvl w:val="0"/>
    </w:pPr>
    <w:rPr>
      <w:rFonts w:ascii="Times New Roman" w:hAnsi="Times New Roman"/>
      <w:b/>
      <w:sz w:val="32"/>
    </w:rPr>
  </w:style>
  <w:style w:type="paragraph" w:customStyle="1" w:styleId="AllowPageBreak">
    <w:name w:val="AllowPageBreak"/>
    <w:rsid w:val="004A432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A43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43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43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43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43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43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43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4325"/>
    <w:rPr>
      <w:rFonts w:ascii="Courier New" w:eastAsia="Times New Roman" w:hAnsi="Courier New" w:cs="Times New Roman"/>
      <w:i/>
      <w:szCs w:val="20"/>
      <w:lang w:eastAsia="en-US"/>
    </w:rPr>
  </w:style>
  <w:style w:type="paragraph" w:customStyle="1" w:styleId="HeadingBase">
    <w:name w:val="Heading Base"/>
    <w:rsid w:val="004A43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4325"/>
    <w:pPr>
      <w:tabs>
        <w:tab w:val="right" w:leader="dot" w:pos="9072"/>
      </w:tabs>
      <w:ind w:left="567"/>
    </w:pPr>
    <w:rPr>
      <w:szCs w:val="22"/>
    </w:rPr>
  </w:style>
  <w:style w:type="paragraph" w:customStyle="1" w:styleId="TOCBase">
    <w:name w:val="TOC Base"/>
    <w:rsid w:val="004A43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4325"/>
    <w:pPr>
      <w:tabs>
        <w:tab w:val="right" w:leader="dot" w:pos="9072"/>
      </w:tabs>
      <w:spacing w:before="40" w:after="40"/>
      <w:ind w:left="284"/>
    </w:pPr>
    <w:rPr>
      <w:rFonts w:ascii="Times New Roman" w:hAnsi="Times New Roman"/>
    </w:rPr>
  </w:style>
  <w:style w:type="paragraph" w:styleId="TOC1">
    <w:name w:val="toc 1"/>
    <w:basedOn w:val="TOCBase"/>
    <w:next w:val="Normal"/>
    <w:rsid w:val="004A43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43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4325"/>
    <w:rPr>
      <w:rFonts w:ascii="Times New Roman" w:eastAsia="Times New Roman" w:hAnsi="Times New Roman" w:cs="Times New Roman"/>
      <w:sz w:val="16"/>
      <w:lang w:eastAsia="en-US"/>
    </w:rPr>
  </w:style>
  <w:style w:type="paragraph" w:styleId="Title">
    <w:name w:val="Title"/>
    <w:basedOn w:val="HeadingBase"/>
    <w:link w:val="TitleChar"/>
    <w:qFormat/>
    <w:rsid w:val="004A4325"/>
    <w:pPr>
      <w:spacing w:before="5040"/>
      <w:jc w:val="center"/>
    </w:pPr>
    <w:rPr>
      <w:sz w:val="48"/>
      <w:szCs w:val="72"/>
      <w:lang w:val="en-US"/>
    </w:rPr>
  </w:style>
  <w:style w:type="character" w:customStyle="1" w:styleId="TitleChar">
    <w:name w:val="Title Char"/>
    <w:basedOn w:val="DefaultParagraphFont"/>
    <w:link w:val="Title"/>
    <w:rsid w:val="004A43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4325"/>
    <w:pPr>
      <w:tabs>
        <w:tab w:val="left" w:pos="3600"/>
        <w:tab w:val="left" w:pos="3958"/>
      </w:tabs>
    </w:pPr>
  </w:style>
  <w:style w:type="paragraph" w:styleId="List">
    <w:name w:val="List"/>
    <w:basedOn w:val="BodyText"/>
    <w:next w:val="BodyText"/>
    <w:rsid w:val="004A4325"/>
    <w:pPr>
      <w:tabs>
        <w:tab w:val="left" w:pos="340"/>
      </w:tabs>
      <w:spacing w:before="60" w:after="60"/>
      <w:ind w:left="340" w:hanging="340"/>
    </w:pPr>
  </w:style>
  <w:style w:type="paragraph" w:customStyle="1" w:styleId="Note">
    <w:name w:val="Note"/>
    <w:basedOn w:val="BodyText"/>
    <w:rsid w:val="004A43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4325"/>
    <w:pPr>
      <w:framePr w:wrap="auto" w:hAnchor="text" w:y="6049"/>
    </w:pPr>
    <w:rPr>
      <w:color w:val="000000"/>
      <w:sz w:val="40"/>
    </w:rPr>
  </w:style>
  <w:style w:type="paragraph" w:customStyle="1" w:styleId="TOCTitle">
    <w:name w:val="TOCTitle"/>
    <w:basedOn w:val="Heading1"/>
    <w:rsid w:val="004A4325"/>
    <w:pPr>
      <w:spacing w:after="240"/>
      <w:jc w:val="center"/>
      <w:outlineLvl w:val="9"/>
    </w:pPr>
    <w:rPr>
      <w:caps/>
    </w:rPr>
  </w:style>
  <w:style w:type="paragraph" w:customStyle="1" w:styleId="Version">
    <w:name w:val="Version"/>
    <w:rsid w:val="004A43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4325"/>
    <w:pPr>
      <w:keepNext w:val="0"/>
      <w:tabs>
        <w:tab w:val="right" w:pos="4176"/>
      </w:tabs>
      <w:ind w:left="198" w:hanging="198"/>
    </w:pPr>
    <w:rPr>
      <w:rFonts w:ascii="Garamond" w:hAnsi="Garamond"/>
    </w:rPr>
  </w:style>
  <w:style w:type="paragraph" w:styleId="IndexHeading">
    <w:name w:val="index heading"/>
    <w:basedOn w:val="Normal"/>
    <w:next w:val="Index1"/>
    <w:semiHidden/>
    <w:rsid w:val="004A4325"/>
    <w:pPr>
      <w:spacing w:before="120" w:after="120"/>
    </w:pPr>
    <w:rPr>
      <w:rFonts w:ascii="Arial" w:hAnsi="Arial"/>
      <w:b/>
      <w:color w:val="918585"/>
      <w:sz w:val="24"/>
    </w:rPr>
  </w:style>
  <w:style w:type="paragraph" w:styleId="Header">
    <w:name w:val="header"/>
    <w:basedOn w:val="Normal"/>
    <w:link w:val="HeaderChar"/>
    <w:rsid w:val="004A43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4325"/>
    <w:rPr>
      <w:rFonts w:ascii="Times New Roman" w:eastAsia="Times New Roman" w:hAnsi="Times New Roman" w:cs="Times New Roman"/>
      <w:sz w:val="16"/>
      <w:szCs w:val="20"/>
      <w:lang w:val="en-GB" w:eastAsia="en-US"/>
    </w:rPr>
  </w:style>
  <w:style w:type="paragraph" w:customStyle="1" w:styleId="Chapter">
    <w:name w:val="Chapter"/>
    <w:basedOn w:val="Normal"/>
    <w:rsid w:val="004A4325"/>
    <w:pPr>
      <w:spacing w:before="240"/>
    </w:pPr>
    <w:rPr>
      <w:rFonts w:ascii="Times New Roman" w:hAnsi="Times New Roman"/>
      <w:smallCaps/>
      <w:spacing w:val="80"/>
      <w:sz w:val="28"/>
    </w:rPr>
  </w:style>
  <w:style w:type="paragraph" w:customStyle="1" w:styleId="InChapter">
    <w:name w:val="InChapter"/>
    <w:basedOn w:val="Heading3"/>
    <w:rsid w:val="004A4325"/>
    <w:pPr>
      <w:spacing w:after="240"/>
      <w:outlineLvl w:val="9"/>
    </w:pPr>
    <w:rPr>
      <w:noProof/>
    </w:rPr>
  </w:style>
  <w:style w:type="paragraph" w:styleId="Index2">
    <w:name w:val="index 2"/>
    <w:basedOn w:val="Normal"/>
    <w:next w:val="Normal"/>
    <w:semiHidden/>
    <w:rsid w:val="004A4325"/>
    <w:pPr>
      <w:tabs>
        <w:tab w:val="right" w:pos="4176"/>
      </w:tabs>
      <w:ind w:left="568" w:hanging="284"/>
    </w:pPr>
    <w:rPr>
      <w:rFonts w:ascii="Garamond" w:hAnsi="Garamond"/>
    </w:rPr>
  </w:style>
  <w:style w:type="paragraph" w:customStyle="1" w:styleId="Byline">
    <w:name w:val="Byline"/>
    <w:rsid w:val="004A43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4325"/>
    <w:pPr>
      <w:tabs>
        <w:tab w:val="clear" w:pos="3600"/>
        <w:tab w:val="clear" w:pos="3958"/>
      </w:tabs>
      <w:jc w:val="right"/>
    </w:pPr>
  </w:style>
  <w:style w:type="character" w:styleId="Emphasis">
    <w:name w:val="Emphasis"/>
    <w:basedOn w:val="DefaultParagraphFont"/>
    <w:qFormat/>
    <w:rsid w:val="004A4325"/>
    <w:rPr>
      <w:i/>
    </w:rPr>
  </w:style>
  <w:style w:type="paragraph" w:styleId="Caption">
    <w:name w:val="caption"/>
    <w:basedOn w:val="BodyText"/>
    <w:next w:val="Normal"/>
    <w:qFormat/>
    <w:rsid w:val="004A4325"/>
    <w:pPr>
      <w:framePr w:w="2268" w:hSpace="181" w:vSpace="181" w:wrap="around" w:vAnchor="text" w:hAnchor="page" w:x="1135" w:y="285" w:anchorLock="1"/>
    </w:pPr>
    <w:rPr>
      <w:i/>
    </w:rPr>
  </w:style>
  <w:style w:type="paragraph" w:customStyle="1" w:styleId="MiniTOCTitle">
    <w:name w:val="MiniTOCTitle"/>
    <w:basedOn w:val="Heading4"/>
    <w:rsid w:val="004A4325"/>
    <w:pPr>
      <w:spacing w:before="240"/>
      <w:outlineLvl w:val="9"/>
    </w:pPr>
    <w:rPr>
      <w:noProof/>
      <w:sz w:val="24"/>
    </w:rPr>
  </w:style>
  <w:style w:type="paragraph" w:customStyle="1" w:styleId="MiniTOCItem">
    <w:name w:val="MiniTOCItem"/>
    <w:basedOn w:val="ListBullet"/>
    <w:rsid w:val="004A4325"/>
    <w:pPr>
      <w:numPr>
        <w:numId w:val="0"/>
      </w:numPr>
      <w:tabs>
        <w:tab w:val="right" w:leader="dot" w:pos="6521"/>
      </w:tabs>
      <w:spacing w:before="0" w:after="0"/>
    </w:pPr>
  </w:style>
  <w:style w:type="paragraph" w:customStyle="1" w:styleId="TOFTitle">
    <w:name w:val="TOFTitle"/>
    <w:basedOn w:val="TOCTitle"/>
    <w:rsid w:val="004A4325"/>
  </w:style>
  <w:style w:type="paragraph" w:styleId="TableofFigures">
    <w:name w:val="table of figures"/>
    <w:basedOn w:val="Normal"/>
    <w:next w:val="Normal"/>
    <w:semiHidden/>
    <w:rsid w:val="004A4325"/>
    <w:pPr>
      <w:tabs>
        <w:tab w:val="right" w:leader="dot" w:pos="9072"/>
      </w:tabs>
      <w:ind w:left="970" w:hanging="403"/>
    </w:pPr>
    <w:rPr>
      <w:rFonts w:ascii="Times New Roman" w:hAnsi="Times New Roman"/>
      <w:b/>
    </w:rPr>
  </w:style>
  <w:style w:type="paragraph" w:styleId="ListNumber">
    <w:name w:val="List Number"/>
    <w:basedOn w:val="List"/>
    <w:rsid w:val="004A4325"/>
    <w:pPr>
      <w:numPr>
        <w:numId w:val="15"/>
      </w:numPr>
      <w:tabs>
        <w:tab w:val="clear" w:pos="340"/>
      </w:tabs>
    </w:pPr>
  </w:style>
  <w:style w:type="character" w:customStyle="1" w:styleId="WingdingSymbols">
    <w:name w:val="Wingding Symbols"/>
    <w:rsid w:val="004A4325"/>
    <w:rPr>
      <w:rFonts w:ascii="Wingdings" w:hAnsi="Wingdings"/>
    </w:rPr>
  </w:style>
  <w:style w:type="paragraph" w:customStyle="1" w:styleId="TableHeading">
    <w:name w:val="Table Heading"/>
    <w:basedOn w:val="HeadingBase"/>
    <w:rsid w:val="004A4325"/>
    <w:pPr>
      <w:keepLines/>
      <w:pBdr>
        <w:bottom w:val="single" w:sz="6" w:space="1" w:color="918585"/>
      </w:pBdr>
      <w:spacing w:before="240"/>
    </w:pPr>
  </w:style>
  <w:style w:type="character" w:customStyle="1" w:styleId="HotSpot">
    <w:name w:val="HotSpot"/>
    <w:rsid w:val="004A4325"/>
    <w:rPr>
      <w:color w:val="0033CC"/>
      <w:u w:val="none"/>
    </w:rPr>
  </w:style>
  <w:style w:type="paragraph" w:customStyle="1" w:styleId="BodyTextRight">
    <w:name w:val="Body Text Right"/>
    <w:basedOn w:val="BodyText"/>
    <w:rsid w:val="004A4325"/>
    <w:pPr>
      <w:spacing w:before="0" w:after="0"/>
      <w:jc w:val="right"/>
    </w:pPr>
  </w:style>
  <w:style w:type="paragraph" w:styleId="Index3">
    <w:name w:val="index 3"/>
    <w:basedOn w:val="ListNumber2"/>
    <w:next w:val="Normal"/>
    <w:semiHidden/>
    <w:rsid w:val="004A4325"/>
    <w:pPr>
      <w:numPr>
        <w:numId w:val="0"/>
      </w:numPr>
      <w:tabs>
        <w:tab w:val="right" w:leader="dot" w:pos="4176"/>
      </w:tabs>
    </w:pPr>
  </w:style>
  <w:style w:type="paragraph" w:styleId="ListNumber2">
    <w:name w:val="List Number 2"/>
    <w:basedOn w:val="List2"/>
    <w:rsid w:val="004A4325"/>
    <w:pPr>
      <w:numPr>
        <w:numId w:val="10"/>
      </w:numPr>
      <w:tabs>
        <w:tab w:val="clear" w:pos="1060"/>
      </w:tabs>
    </w:pPr>
  </w:style>
  <w:style w:type="paragraph" w:customStyle="1" w:styleId="MarginNote">
    <w:name w:val="Margin Note"/>
    <w:basedOn w:val="BodyText"/>
    <w:rsid w:val="004A43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43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43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4325"/>
    <w:rPr>
      <w:sz w:val="32"/>
    </w:rPr>
  </w:style>
  <w:style w:type="paragraph" w:customStyle="1" w:styleId="HeadingProcedure">
    <w:name w:val="Heading Procedure"/>
    <w:basedOn w:val="HeadingBase"/>
    <w:next w:val="Normal"/>
    <w:rsid w:val="004A4325"/>
    <w:pPr>
      <w:tabs>
        <w:tab w:val="left" w:pos="0"/>
      </w:tabs>
      <w:spacing w:before="120" w:after="60"/>
    </w:pPr>
    <w:rPr>
      <w:i/>
      <w:color w:val="918585"/>
      <w:sz w:val="22"/>
    </w:rPr>
  </w:style>
  <w:style w:type="paragraph" w:customStyle="1" w:styleId="TableBodyText">
    <w:name w:val="Table Body Text"/>
    <w:basedOn w:val="BodyText"/>
    <w:rsid w:val="004A4325"/>
    <w:pPr>
      <w:spacing w:before="60" w:after="60"/>
    </w:pPr>
  </w:style>
  <w:style w:type="paragraph" w:styleId="ListContinue">
    <w:name w:val="List Continue"/>
    <w:basedOn w:val="List"/>
    <w:rsid w:val="004A4325"/>
    <w:pPr>
      <w:ind w:firstLine="0"/>
    </w:pPr>
  </w:style>
  <w:style w:type="paragraph" w:customStyle="1" w:styleId="ListNote">
    <w:name w:val="List Note"/>
    <w:basedOn w:val="List"/>
    <w:rsid w:val="004A4325"/>
    <w:pPr>
      <w:pBdr>
        <w:top w:val="single" w:sz="6" w:space="2" w:color="918585"/>
        <w:bottom w:val="single" w:sz="6" w:space="2" w:color="918585"/>
      </w:pBdr>
      <w:tabs>
        <w:tab w:val="left" w:pos="1021"/>
      </w:tabs>
      <w:ind w:firstLine="0"/>
    </w:pPr>
  </w:style>
  <w:style w:type="paragraph" w:customStyle="1" w:styleId="Warning">
    <w:name w:val="Warning"/>
    <w:basedOn w:val="BodyText"/>
    <w:rsid w:val="004A4325"/>
    <w:pPr>
      <w:shd w:val="clear" w:color="auto" w:fill="D9D9D9"/>
      <w:tabs>
        <w:tab w:val="left" w:pos="992"/>
      </w:tabs>
      <w:ind w:left="119" w:right="119"/>
    </w:pPr>
    <w:rPr>
      <w:sz w:val="20"/>
    </w:rPr>
  </w:style>
  <w:style w:type="paragraph" w:customStyle="1" w:styleId="MarginIcons">
    <w:name w:val="Margin Icons"/>
    <w:basedOn w:val="BodyText"/>
    <w:rsid w:val="004A43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4325"/>
    <w:rPr>
      <w:rFonts w:ascii="Courier New" w:hAnsi="Courier New"/>
    </w:rPr>
  </w:style>
  <w:style w:type="paragraph" w:customStyle="1" w:styleId="NoteBullet">
    <w:name w:val="Note Bullet"/>
    <w:basedOn w:val="Note"/>
    <w:rsid w:val="004A4325"/>
    <w:pPr>
      <w:tabs>
        <w:tab w:val="clear" w:pos="680"/>
      </w:tabs>
      <w:spacing w:before="60" w:after="60"/>
    </w:pPr>
  </w:style>
  <w:style w:type="paragraph" w:customStyle="1" w:styleId="SubHeading2">
    <w:name w:val="SubHeading2"/>
    <w:basedOn w:val="HeadingBase"/>
    <w:rsid w:val="004A4325"/>
    <w:pPr>
      <w:spacing w:before="240" w:after="60"/>
    </w:pPr>
    <w:rPr>
      <w:sz w:val="20"/>
    </w:rPr>
  </w:style>
  <w:style w:type="paragraph" w:customStyle="1" w:styleId="SubHeading1">
    <w:name w:val="SubHeading1"/>
    <w:basedOn w:val="HeadingBase"/>
    <w:rsid w:val="004A4325"/>
    <w:pPr>
      <w:spacing w:before="240" w:after="60"/>
    </w:pPr>
    <w:rPr>
      <w:color w:val="918585"/>
      <w:sz w:val="22"/>
    </w:rPr>
  </w:style>
  <w:style w:type="paragraph" w:customStyle="1" w:styleId="SideHeading">
    <w:name w:val="Side Heading"/>
    <w:basedOn w:val="HeadingBase"/>
    <w:rsid w:val="004A43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4325"/>
    <w:pPr>
      <w:tabs>
        <w:tab w:val="num" w:pos="360"/>
      </w:tabs>
    </w:pPr>
  </w:style>
  <w:style w:type="paragraph" w:styleId="PlainText">
    <w:name w:val="Plain Text"/>
    <w:basedOn w:val="Normal"/>
    <w:link w:val="PlainTextChar"/>
    <w:rsid w:val="004A4325"/>
    <w:rPr>
      <w:sz w:val="20"/>
    </w:rPr>
  </w:style>
  <w:style w:type="character" w:customStyle="1" w:styleId="PlainTextChar">
    <w:name w:val="Plain Text Char"/>
    <w:basedOn w:val="DefaultParagraphFont"/>
    <w:link w:val="PlainText"/>
    <w:rsid w:val="004A4325"/>
    <w:rPr>
      <w:rFonts w:ascii="Courier New" w:eastAsia="Times New Roman" w:hAnsi="Courier New" w:cs="Times New Roman"/>
      <w:sz w:val="20"/>
      <w:szCs w:val="20"/>
      <w:lang w:eastAsia="en-US"/>
    </w:rPr>
  </w:style>
  <w:style w:type="character" w:customStyle="1" w:styleId="MenuOption">
    <w:name w:val="Menu Option"/>
    <w:basedOn w:val="DefaultParagraphFont"/>
    <w:rsid w:val="004A4325"/>
    <w:rPr>
      <w:b/>
      <w:smallCaps/>
    </w:rPr>
  </w:style>
  <w:style w:type="paragraph" w:customStyle="1" w:styleId="TableListNumber">
    <w:name w:val="Table List Number"/>
    <w:basedOn w:val="ListNumber"/>
    <w:rsid w:val="004A4325"/>
    <w:pPr>
      <w:numPr>
        <w:numId w:val="0"/>
      </w:numPr>
    </w:pPr>
  </w:style>
  <w:style w:type="paragraph" w:styleId="TOC4">
    <w:name w:val="toc 4"/>
    <w:basedOn w:val="TOCBase"/>
    <w:next w:val="Normal"/>
    <w:semiHidden/>
    <w:rsid w:val="004A4325"/>
    <w:pPr>
      <w:tabs>
        <w:tab w:val="right" w:leader="dot" w:pos="9071"/>
      </w:tabs>
      <w:ind w:left="1701"/>
    </w:pPr>
  </w:style>
  <w:style w:type="paragraph" w:customStyle="1" w:styleId="ListAlpha">
    <w:name w:val="List Alpha"/>
    <w:basedOn w:val="List"/>
    <w:rsid w:val="004A4325"/>
    <w:pPr>
      <w:numPr>
        <w:numId w:val="9"/>
      </w:numPr>
    </w:pPr>
  </w:style>
  <w:style w:type="paragraph" w:customStyle="1" w:styleId="ListAlpha2">
    <w:name w:val="List Alpha 2"/>
    <w:basedOn w:val="List2"/>
    <w:rsid w:val="004A4325"/>
    <w:pPr>
      <w:numPr>
        <w:numId w:val="8"/>
      </w:numPr>
    </w:pPr>
  </w:style>
  <w:style w:type="paragraph" w:styleId="List2">
    <w:name w:val="List 2"/>
    <w:basedOn w:val="BodyText"/>
    <w:rsid w:val="004A4325"/>
    <w:pPr>
      <w:tabs>
        <w:tab w:val="left" w:pos="680"/>
      </w:tabs>
      <w:spacing w:before="60" w:after="60"/>
      <w:ind w:left="680" w:hanging="340"/>
    </w:pPr>
  </w:style>
  <w:style w:type="paragraph" w:styleId="List3">
    <w:name w:val="List 3"/>
    <w:basedOn w:val="BodyText"/>
    <w:rsid w:val="004A4325"/>
    <w:pPr>
      <w:tabs>
        <w:tab w:val="left" w:pos="1021"/>
      </w:tabs>
      <w:spacing w:before="60" w:after="60"/>
      <w:ind w:left="1020" w:hanging="340"/>
    </w:pPr>
  </w:style>
  <w:style w:type="paragraph" w:styleId="List4">
    <w:name w:val="List 4"/>
    <w:basedOn w:val="BodyText"/>
    <w:rsid w:val="004A4325"/>
    <w:pPr>
      <w:tabs>
        <w:tab w:val="left" w:pos="1361"/>
      </w:tabs>
      <w:spacing w:before="60" w:after="60"/>
      <w:ind w:left="1361" w:hanging="340"/>
    </w:pPr>
  </w:style>
  <w:style w:type="paragraph" w:styleId="List5">
    <w:name w:val="List 5"/>
    <w:basedOn w:val="BodyText"/>
    <w:rsid w:val="004A4325"/>
    <w:pPr>
      <w:tabs>
        <w:tab w:val="left" w:pos="1701"/>
      </w:tabs>
      <w:spacing w:before="60" w:after="60"/>
      <w:ind w:left="1701" w:hanging="340"/>
    </w:pPr>
  </w:style>
  <w:style w:type="paragraph" w:styleId="ListBullet3">
    <w:name w:val="List Bullet 3"/>
    <w:basedOn w:val="List3"/>
    <w:rsid w:val="004A4325"/>
    <w:pPr>
      <w:numPr>
        <w:numId w:val="14"/>
      </w:numPr>
      <w:tabs>
        <w:tab w:val="clear" w:pos="1021"/>
      </w:tabs>
      <w:ind w:left="1037" w:hanging="357"/>
    </w:pPr>
  </w:style>
  <w:style w:type="paragraph" w:styleId="ListBullet4">
    <w:name w:val="List Bullet 4"/>
    <w:basedOn w:val="List4"/>
    <w:rsid w:val="004A4325"/>
    <w:pPr>
      <w:numPr>
        <w:numId w:val="3"/>
      </w:numPr>
      <w:tabs>
        <w:tab w:val="clear" w:pos="1361"/>
      </w:tabs>
    </w:pPr>
  </w:style>
  <w:style w:type="paragraph" w:styleId="ListBullet5">
    <w:name w:val="List Bullet 5"/>
    <w:basedOn w:val="List5"/>
    <w:rsid w:val="004A4325"/>
    <w:pPr>
      <w:numPr>
        <w:numId w:val="4"/>
      </w:numPr>
    </w:pPr>
  </w:style>
  <w:style w:type="paragraph" w:styleId="ListContinue2">
    <w:name w:val="List Continue 2"/>
    <w:basedOn w:val="List2"/>
    <w:rsid w:val="004A4325"/>
    <w:pPr>
      <w:ind w:firstLine="0"/>
    </w:pPr>
  </w:style>
  <w:style w:type="paragraph" w:styleId="ListContinue3">
    <w:name w:val="List Continue 3"/>
    <w:basedOn w:val="List3"/>
    <w:rsid w:val="004A4325"/>
    <w:pPr>
      <w:ind w:left="1021" w:firstLine="0"/>
    </w:pPr>
  </w:style>
  <w:style w:type="paragraph" w:styleId="ListContinue4">
    <w:name w:val="List Continue 4"/>
    <w:basedOn w:val="List4"/>
    <w:rsid w:val="004A4325"/>
    <w:pPr>
      <w:ind w:firstLine="0"/>
    </w:pPr>
  </w:style>
  <w:style w:type="paragraph" w:styleId="ListContinue5">
    <w:name w:val="List Continue 5"/>
    <w:basedOn w:val="List5"/>
    <w:rsid w:val="004A4325"/>
    <w:pPr>
      <w:ind w:firstLine="0"/>
    </w:pPr>
  </w:style>
  <w:style w:type="paragraph" w:styleId="ListNumber3">
    <w:name w:val="List Number 3"/>
    <w:basedOn w:val="List3"/>
    <w:rsid w:val="004A4325"/>
    <w:pPr>
      <w:numPr>
        <w:numId w:val="5"/>
      </w:numPr>
    </w:pPr>
  </w:style>
  <w:style w:type="paragraph" w:styleId="ListNumber4">
    <w:name w:val="List Number 4"/>
    <w:basedOn w:val="List4"/>
    <w:rsid w:val="004A4325"/>
    <w:pPr>
      <w:numPr>
        <w:numId w:val="6"/>
      </w:numPr>
    </w:pPr>
  </w:style>
  <w:style w:type="paragraph" w:styleId="ListNumber5">
    <w:name w:val="List Number 5"/>
    <w:basedOn w:val="List5"/>
    <w:rsid w:val="004A4325"/>
    <w:pPr>
      <w:numPr>
        <w:numId w:val="7"/>
      </w:numPr>
    </w:pPr>
  </w:style>
  <w:style w:type="paragraph" w:styleId="BlockText">
    <w:name w:val="Block Text"/>
    <w:basedOn w:val="Normal"/>
    <w:rsid w:val="004A4325"/>
    <w:pPr>
      <w:spacing w:after="120"/>
      <w:ind w:left="1440" w:right="1440"/>
    </w:pPr>
  </w:style>
  <w:style w:type="character" w:customStyle="1" w:styleId="Subscript">
    <w:name w:val="Subscript"/>
    <w:basedOn w:val="DefaultParagraphFont"/>
    <w:rsid w:val="004A4325"/>
    <w:rPr>
      <w:sz w:val="16"/>
      <w:vertAlign w:val="subscript"/>
    </w:rPr>
  </w:style>
  <w:style w:type="character" w:customStyle="1" w:styleId="Superscript">
    <w:name w:val="Superscript"/>
    <w:basedOn w:val="DefaultParagraphFont"/>
    <w:rsid w:val="004A4325"/>
    <w:rPr>
      <w:sz w:val="16"/>
      <w:vertAlign w:val="superscript"/>
    </w:rPr>
  </w:style>
  <w:style w:type="character" w:customStyle="1" w:styleId="Symbols">
    <w:name w:val="Symbols"/>
    <w:basedOn w:val="DefaultParagraphFont"/>
    <w:rsid w:val="004A4325"/>
    <w:rPr>
      <w:rFonts w:ascii="Symbol" w:hAnsi="Symbol"/>
    </w:rPr>
  </w:style>
  <w:style w:type="character" w:customStyle="1" w:styleId="MenuOptions">
    <w:name w:val="Menu Options"/>
    <w:basedOn w:val="DefaultParagraphFont"/>
    <w:rsid w:val="004A4325"/>
    <w:rPr>
      <w:rFonts w:ascii="Arial Narrow" w:hAnsi="Arial Narrow"/>
      <w:smallCaps/>
    </w:rPr>
  </w:style>
  <w:style w:type="character" w:customStyle="1" w:styleId="Buttons">
    <w:name w:val="Buttons"/>
    <w:basedOn w:val="DefaultParagraphFont"/>
    <w:rsid w:val="004A4325"/>
    <w:rPr>
      <w:b/>
    </w:rPr>
  </w:style>
  <w:style w:type="character" w:customStyle="1" w:styleId="Underlined">
    <w:name w:val="Underlined"/>
    <w:basedOn w:val="DefaultParagraphFont"/>
    <w:rsid w:val="004A4325"/>
    <w:rPr>
      <w:u w:val="single"/>
    </w:rPr>
  </w:style>
  <w:style w:type="paragraph" w:customStyle="1" w:styleId="TableBodyTextRight">
    <w:name w:val="Table Body Text Right"/>
    <w:basedOn w:val="TableBodyText"/>
    <w:rsid w:val="004A4325"/>
    <w:pPr>
      <w:widowControl w:val="0"/>
      <w:autoSpaceDE w:val="0"/>
      <w:autoSpaceDN w:val="0"/>
      <w:adjustRightInd w:val="0"/>
      <w:jc w:val="right"/>
    </w:pPr>
    <w:rPr>
      <w:rFonts w:cs="Arial"/>
      <w:szCs w:val="18"/>
    </w:rPr>
  </w:style>
  <w:style w:type="paragraph" w:customStyle="1" w:styleId="CopyrightText">
    <w:name w:val="Copyright Text"/>
    <w:basedOn w:val="BodyText"/>
    <w:rsid w:val="004A4325"/>
    <w:rPr>
      <w:sz w:val="18"/>
    </w:rPr>
  </w:style>
  <w:style w:type="paragraph" w:customStyle="1" w:styleId="BodySmallRight">
    <w:name w:val="Body Small Right"/>
    <w:basedOn w:val="BodyTextRight"/>
    <w:rsid w:val="004A4325"/>
    <w:rPr>
      <w:sz w:val="18"/>
      <w:szCs w:val="18"/>
    </w:rPr>
  </w:style>
  <w:style w:type="paragraph" w:customStyle="1" w:styleId="MarginEdition">
    <w:name w:val="Margin Edition"/>
    <w:basedOn w:val="MarginNote"/>
    <w:rsid w:val="004A4325"/>
    <w:pPr>
      <w:spacing w:before="0" w:after="0"/>
    </w:pPr>
    <w:rPr>
      <w:rFonts w:ascii="Times New Roman" w:hAnsi="Times New Roman"/>
      <w:color w:val="999999"/>
    </w:rPr>
  </w:style>
  <w:style w:type="paragraph" w:customStyle="1" w:styleId="Spacer">
    <w:name w:val="Spacer"/>
    <w:basedOn w:val="Normal"/>
    <w:rsid w:val="004A4325"/>
    <w:rPr>
      <w:sz w:val="2"/>
      <w:szCs w:val="2"/>
    </w:rPr>
  </w:style>
  <w:style w:type="character" w:customStyle="1" w:styleId="Small">
    <w:name w:val="Small"/>
    <w:basedOn w:val="DefaultParagraphFont"/>
    <w:rsid w:val="004A4325"/>
    <w:rPr>
      <w:sz w:val="16"/>
    </w:rPr>
  </w:style>
  <w:style w:type="paragraph" w:customStyle="1" w:styleId="WideTable">
    <w:name w:val="Wide Table"/>
    <w:basedOn w:val="Normal"/>
    <w:rsid w:val="004A4325"/>
    <w:pPr>
      <w:ind w:left="-1418"/>
    </w:pPr>
    <w:rPr>
      <w:sz w:val="2"/>
      <w:szCs w:val="2"/>
    </w:rPr>
  </w:style>
  <w:style w:type="character" w:styleId="PageNumber">
    <w:name w:val="page number"/>
    <w:basedOn w:val="DefaultParagraphFont"/>
    <w:rsid w:val="004A4325"/>
  </w:style>
  <w:style w:type="paragraph" w:styleId="Quote">
    <w:name w:val="Quote"/>
    <w:basedOn w:val="Heading1"/>
    <w:link w:val="QuoteChar"/>
    <w:qFormat/>
    <w:rsid w:val="004A4325"/>
    <w:rPr>
      <w:b w:val="0"/>
      <w:sz w:val="72"/>
      <w:szCs w:val="72"/>
      <w:lang w:val="en-NZ"/>
    </w:rPr>
  </w:style>
  <w:style w:type="character" w:customStyle="1" w:styleId="QuoteChar">
    <w:name w:val="Quote Char"/>
    <w:basedOn w:val="DefaultParagraphFont"/>
    <w:link w:val="Quote"/>
    <w:rsid w:val="004A43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4325"/>
    <w:pPr>
      <w:pageBreakBefore/>
    </w:pPr>
  </w:style>
  <w:style w:type="paragraph" w:customStyle="1" w:styleId="Border">
    <w:name w:val="Border"/>
    <w:basedOn w:val="Normal"/>
    <w:qFormat/>
    <w:rsid w:val="004A43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4325"/>
    <w:rPr>
      <w:b/>
      <w:bCs/>
      <w:i/>
      <w:iCs/>
      <w:color w:val="auto"/>
    </w:rPr>
  </w:style>
  <w:style w:type="paragraph" w:styleId="IntenseQuote">
    <w:name w:val="Intense Quote"/>
    <w:basedOn w:val="Normal"/>
    <w:next w:val="Normal"/>
    <w:link w:val="IntenseQuoteChar"/>
    <w:uiPriority w:val="30"/>
    <w:qFormat/>
    <w:rsid w:val="004A43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43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4325"/>
    <w:rPr>
      <w:smallCaps/>
      <w:color w:val="auto"/>
      <w:u w:val="single"/>
    </w:rPr>
  </w:style>
  <w:style w:type="character" w:styleId="IntenseReference">
    <w:name w:val="Intense Reference"/>
    <w:basedOn w:val="DefaultParagraphFont"/>
    <w:uiPriority w:val="32"/>
    <w:qFormat/>
    <w:rsid w:val="004A4325"/>
    <w:rPr>
      <w:b/>
      <w:bCs/>
      <w:smallCaps/>
      <w:color w:val="auto"/>
      <w:spacing w:val="5"/>
      <w:u w:val="single"/>
    </w:rPr>
  </w:style>
  <w:style w:type="paragraph" w:customStyle="1" w:styleId="2ColumnHeading">
    <w:name w:val="2Column Heading"/>
    <w:basedOn w:val="BodyText"/>
    <w:qFormat/>
    <w:rsid w:val="004A4325"/>
    <w:pPr>
      <w:spacing w:after="60"/>
      <w:ind w:left="-2268"/>
    </w:pPr>
    <w:rPr>
      <w:b/>
    </w:rPr>
  </w:style>
  <w:style w:type="paragraph" w:customStyle="1" w:styleId="Heading1TOC">
    <w:name w:val="Heading1 TOC"/>
    <w:basedOn w:val="Normal"/>
    <w:qFormat/>
    <w:rsid w:val="004A4325"/>
    <w:pPr>
      <w:spacing w:before="240" w:after="120"/>
    </w:pPr>
    <w:rPr>
      <w:rFonts w:ascii="Times New Roman" w:hAnsi="Times New Roman"/>
      <w:b/>
      <w:sz w:val="32"/>
    </w:rPr>
  </w:style>
  <w:style w:type="paragraph" w:customStyle="1" w:styleId="Heading2TOC">
    <w:name w:val="Heading2 TOC"/>
    <w:basedOn w:val="Normal"/>
    <w:qFormat/>
    <w:rsid w:val="004A4325"/>
    <w:pPr>
      <w:spacing w:before="240" w:after="60"/>
    </w:pPr>
    <w:rPr>
      <w:rFonts w:ascii="Times New Roman" w:hAnsi="Times New Roman"/>
      <w:b/>
      <w:sz w:val="28"/>
    </w:rPr>
  </w:style>
  <w:style w:type="character" w:customStyle="1" w:styleId="Underline">
    <w:name w:val="Underline"/>
    <w:basedOn w:val="DefaultParagraphFont"/>
    <w:qFormat/>
    <w:rsid w:val="004A4325"/>
    <w:rPr>
      <w:u w:val="single"/>
    </w:rPr>
  </w:style>
  <w:style w:type="character" w:customStyle="1" w:styleId="BoldandItalics">
    <w:name w:val="Bold and Italics"/>
    <w:qFormat/>
    <w:rsid w:val="004A4325"/>
    <w:rPr>
      <w:b/>
      <w:i/>
      <w:u w:val="none"/>
    </w:rPr>
  </w:style>
  <w:style w:type="paragraph" w:styleId="BalloonText">
    <w:name w:val="Balloon Text"/>
    <w:basedOn w:val="Normal"/>
    <w:link w:val="BalloonTextChar"/>
    <w:rsid w:val="004A4325"/>
    <w:rPr>
      <w:rFonts w:ascii="Tahoma" w:hAnsi="Tahoma" w:cs="Tahoma"/>
      <w:sz w:val="16"/>
      <w:szCs w:val="16"/>
    </w:rPr>
  </w:style>
  <w:style w:type="character" w:customStyle="1" w:styleId="BalloonTextChar">
    <w:name w:val="Balloon Text Char"/>
    <w:basedOn w:val="DefaultParagraphFont"/>
    <w:link w:val="BalloonText"/>
    <w:rsid w:val="004A43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43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43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4325"/>
    <w:rPr>
      <w:b/>
      <w:color w:val="660033"/>
      <w:spacing w:val="0"/>
    </w:rPr>
  </w:style>
  <w:style w:type="paragraph" w:customStyle="1" w:styleId="Nameditemlist">
    <w:name w:val="Named item list"/>
    <w:basedOn w:val="BodyText"/>
    <w:qFormat/>
    <w:rsid w:val="004A4325"/>
    <w:pPr>
      <w:tabs>
        <w:tab w:val="left" w:pos="2835"/>
      </w:tabs>
      <w:ind w:left="2835" w:hanging="2835"/>
    </w:pPr>
  </w:style>
  <w:style w:type="paragraph" w:customStyle="1" w:styleId="BodyTextnopadding">
    <w:name w:val="Body Text no padding"/>
    <w:basedOn w:val="BodyText"/>
    <w:qFormat/>
    <w:rsid w:val="004A4325"/>
    <w:pPr>
      <w:spacing w:before="0" w:after="0"/>
    </w:pPr>
  </w:style>
  <w:style w:type="paragraph" w:customStyle="1" w:styleId="BodyTextBold">
    <w:name w:val="Body Text Bold"/>
    <w:basedOn w:val="BodyText"/>
    <w:qFormat/>
    <w:rsid w:val="004A4325"/>
    <w:rPr>
      <w:b/>
    </w:rPr>
  </w:style>
  <w:style w:type="character" w:styleId="Hyperlink">
    <w:name w:val="Hyperlink"/>
    <w:basedOn w:val="DefaultParagraphFont"/>
    <w:uiPriority w:val="99"/>
    <w:unhideWhenUsed/>
    <w:rsid w:val="00B66D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997</Words>
  <Characters>6524</Characters>
  <Application>Microsoft Office Word</Application>
  <DocSecurity>0</DocSecurity>
  <Lines>241</Lines>
  <Paragraphs>136</Paragraphs>
  <ScaleCrop>false</ScaleCrop>
  <Company>Author-it Software Corporation Ltd.</Company>
  <LinksUpToDate>false</LinksUpToDate>
  <CharactersWithSpaces>7385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TLIX0019X Monitor digital supply chain services</dc:title>
  <dc:subject>Approved</dc:subject>
  <dc:creator>Industry Skills Australia</dc:creator>
  <cp:keywords>Release: 1</cp:keywords>
  <dc:description>Review Date: 12 April 2008</dc:description>
  <cp:lastModifiedBy>HSD_TPCMSd.prod</cp:lastModifiedBy>
  <cp:revision>3</cp:revision>
  <dcterms:created xsi:type="dcterms:W3CDTF">2025-03-02T00:48:00Z</dcterms:created>
  <dcterms:modified xsi:type="dcterms:W3CDTF">2025-03-02T00:48:00Z</dcterms:modified>
</cp:coreProperties>
</file>