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217A" w:rsidP="00B7217A">
      <w:pPr>
        <w:pStyle w:val="Title"/>
      </w:pPr>
      <w:r>
        <w:fldChar w:fldCharType="begin"/>
      </w:r>
      <w:r>
        <w:instrText xml:space="preserve"> TITLE   \* MERGEFORMAT </w:instrText>
      </w:r>
      <w:r>
        <w:fldChar w:fldCharType="separate"/>
      </w:r>
      <w:r>
        <w:t>TLIX0018X Monitor compliance in digital supply chains</w:t>
      </w:r>
      <w:r>
        <w:fldChar w:fldCharType="end"/>
      </w:r>
    </w:p>
    <w:p w:rsidR="00B7217A" w:rsidP="00B7217A">
      <w:pPr>
        <w:pStyle w:val="Version"/>
        <w:sectPr w:rsidSect="0035341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5341C" w:rsidP="0035341C">
      <w:pPr>
        <w:pStyle w:val="SuperHeading"/>
      </w:pPr>
      <w:r w:rsidRPr="0035341C">
        <w:t>TLIX0018X Monitor compliance in digital supply chains</w:t>
      </w:r>
    </w:p>
    <w:p w:rsidR="00000000" w:rsidRPr="0035341C" w:rsidP="0035341C">
      <w:pPr>
        <w:pStyle w:val="Heading1"/>
      </w:pPr>
      <w:bookmarkStart w:id="1" w:name="O_1066424"/>
      <w:bookmarkEnd w:id="1"/>
      <w:r w:rsidRPr="0035341C">
        <w:t>Modification History</w:t>
      </w:r>
    </w:p>
    <w:tbl>
      <w:tblPr>
        <w:tblW w:w="9497" w:type="dxa"/>
        <w:tblLayout w:type="fixed"/>
        <w:tblCellMar>
          <w:left w:w="62" w:type="dxa"/>
          <w:right w:w="62" w:type="dxa"/>
        </w:tblCellMar>
        <w:tblLook w:val="0000"/>
      </w:tblPr>
      <w:tblGrid>
        <w:gridCol w:w="9497"/>
      </w:tblGrid>
      <w:tr w:rsidTr="003534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5341C" w:rsidP="0035341C">
            <w:pPr>
              <w:pStyle w:val="BodyText"/>
            </w:pPr>
            <w:r w:rsidRPr="0035341C">
              <w:rPr>
                <w:rStyle w:val="SpecialBold"/>
              </w:rPr>
              <w:t>Release 1.</w:t>
            </w:r>
            <w:r w:rsidRPr="0035341C">
              <w:t xml:space="preserve"> This is the first release of this unit of competency in the TLI Transport and Logistics Training Package.</w:t>
            </w:r>
          </w:p>
        </w:tc>
      </w:tr>
    </w:tbl>
    <w:p w:rsidR="00000000" w:rsidRPr="0035341C" w:rsidP="0035341C">
      <w:pPr>
        <w:pStyle w:val="NoPaddingFontSize1"/>
      </w:pPr>
    </w:p>
    <w:p w:rsidR="00000000" w:rsidRPr="0035341C" w:rsidP="0035341C">
      <w:pPr>
        <w:pStyle w:val="AllowPageBreak"/>
      </w:pPr>
    </w:p>
    <w:p w:rsidR="00000000" w:rsidRPr="0035341C" w:rsidP="0035341C">
      <w:pPr>
        <w:pStyle w:val="Heading1"/>
      </w:pPr>
      <w:bookmarkStart w:id="2" w:name="O_1066425"/>
      <w:bookmarkEnd w:id="2"/>
      <w:r w:rsidRPr="0035341C">
        <w:t>Application</w:t>
      </w:r>
    </w:p>
    <w:tbl>
      <w:tblPr>
        <w:tblW w:w="9497" w:type="dxa"/>
        <w:tblLayout w:type="fixed"/>
        <w:tblCellMar>
          <w:left w:w="62" w:type="dxa"/>
          <w:right w:w="62" w:type="dxa"/>
        </w:tblCellMar>
        <w:tblLook w:val="0000"/>
      </w:tblPr>
      <w:tblGrid>
        <w:gridCol w:w="9497"/>
      </w:tblGrid>
      <w:tr w:rsidTr="003534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5341C" w:rsidP="0035341C">
            <w:pPr>
              <w:pStyle w:val="BodyText"/>
            </w:pPr>
            <w:r w:rsidRPr="0035341C">
              <w:t>This unit of competency describes the skills and knowledge required</w:t>
            </w:r>
            <w:r w:rsidRPr="0035341C">
              <w:t xml:space="preserve"> to manage compliance in digital supply chains. It includes identifying digital supply chain compliance requirements, maintaining digital supply chain compliance information, monitoring digital supply chain compliance and reviewing and reporting on digital</w:t>
            </w:r>
            <w:r w:rsidRPr="0035341C">
              <w:t xml:space="preserve"> supply chain compliance.</w:t>
            </w:r>
          </w:p>
          <w:p w:rsidR="00000000" w:rsidRPr="0035341C" w:rsidP="0035341C">
            <w:pPr>
              <w:pStyle w:val="BodyText"/>
            </w:pPr>
            <w:r w:rsidRPr="0035341C">
              <w:t>Compliance refers to the adherence of established guidelines and all legal requirements including those in relation to sourcing, manufacturing and delivering products in a digital supply chain. Tracking and complying with local, n</w:t>
            </w:r>
            <w:r w:rsidRPr="0035341C">
              <w:t>ational and international product and supply chain laws and industry standards is critical to the maintenance of confidence in digital supply chains.</w:t>
            </w:r>
          </w:p>
          <w:p w:rsidR="00000000" w:rsidRPr="0035341C" w:rsidP="0035341C">
            <w:pPr>
              <w:pStyle w:val="BodyText"/>
            </w:pPr>
            <w:r w:rsidRPr="0035341C">
              <w:t>The unit is applicable to those with management or team leadership responsibilities within a digital suppl</w:t>
            </w:r>
            <w:r w:rsidRPr="0035341C">
              <w:t>y chain.</w:t>
            </w:r>
          </w:p>
          <w:p w:rsidR="00000000" w:rsidRPr="0035341C" w:rsidP="0035341C">
            <w:pPr>
              <w:pStyle w:val="BodyText"/>
            </w:pPr>
            <w:r w:rsidRPr="0035341C">
              <w:t>No licensing, legislative or certification requirements apply to this unit at the time of publication.</w:t>
            </w:r>
          </w:p>
        </w:tc>
      </w:tr>
    </w:tbl>
    <w:p w:rsidR="00000000" w:rsidRPr="0035341C" w:rsidP="0035341C">
      <w:pPr>
        <w:pStyle w:val="NoPaddingFontSize1"/>
      </w:pPr>
    </w:p>
    <w:p w:rsidR="00000000" w:rsidRPr="0035341C" w:rsidP="0035341C">
      <w:pPr>
        <w:pStyle w:val="AllowPageBreak"/>
      </w:pPr>
    </w:p>
    <w:p w:rsidR="00000000" w:rsidRPr="0035341C" w:rsidP="0035341C">
      <w:pPr>
        <w:pStyle w:val="Heading1"/>
      </w:pPr>
      <w:bookmarkStart w:id="3" w:name="O_1066426"/>
      <w:bookmarkEnd w:id="3"/>
      <w:r w:rsidRPr="0035341C">
        <w:t>Pre-requisite Unit</w:t>
      </w:r>
    </w:p>
    <w:tbl>
      <w:tblPr>
        <w:tblW w:w="9497" w:type="dxa"/>
        <w:tblLayout w:type="fixed"/>
        <w:tblCellMar>
          <w:left w:w="62" w:type="dxa"/>
          <w:right w:w="62" w:type="dxa"/>
        </w:tblCellMar>
        <w:tblLook w:val="0000"/>
      </w:tblPr>
      <w:tblGrid>
        <w:gridCol w:w="9497"/>
      </w:tblGrid>
      <w:tr w:rsidTr="003534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5341C" w:rsidP="0035341C">
            <w:pPr>
              <w:pStyle w:val="BodyText"/>
            </w:pPr>
            <w:r w:rsidRPr="0035341C">
              <w:t>Not applicable</w:t>
            </w:r>
          </w:p>
        </w:tc>
      </w:tr>
    </w:tbl>
    <w:p w:rsidR="00000000" w:rsidRPr="0035341C" w:rsidP="0035341C">
      <w:pPr>
        <w:pStyle w:val="NoPaddingFontSize1"/>
      </w:pPr>
    </w:p>
    <w:p w:rsidR="00000000" w:rsidRPr="0035341C" w:rsidP="0035341C">
      <w:pPr>
        <w:pStyle w:val="AllowPageBreak"/>
      </w:pPr>
    </w:p>
    <w:p w:rsidR="00000000" w:rsidRPr="0035341C" w:rsidP="0035341C">
      <w:pPr>
        <w:pStyle w:val="Heading1"/>
      </w:pPr>
      <w:bookmarkStart w:id="4" w:name="O_1066427"/>
      <w:bookmarkEnd w:id="4"/>
      <w:r w:rsidRPr="0035341C">
        <w:t>Competency Field</w:t>
      </w:r>
    </w:p>
    <w:tbl>
      <w:tblPr>
        <w:tblW w:w="9497" w:type="dxa"/>
        <w:tblLayout w:type="fixed"/>
        <w:tblCellMar>
          <w:left w:w="62" w:type="dxa"/>
          <w:right w:w="62" w:type="dxa"/>
        </w:tblCellMar>
        <w:tblLook w:val="0000"/>
      </w:tblPr>
      <w:tblGrid>
        <w:gridCol w:w="9497"/>
      </w:tblGrid>
      <w:tr w:rsidTr="003534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5341C" w:rsidP="0035341C">
            <w:pPr>
              <w:pStyle w:val="BodyText"/>
            </w:pPr>
            <w:r w:rsidRPr="0035341C">
              <w:t>X - Logistics</w:t>
            </w:r>
          </w:p>
        </w:tc>
      </w:tr>
    </w:tbl>
    <w:p w:rsidR="00000000" w:rsidRPr="0035341C" w:rsidP="0035341C">
      <w:pPr>
        <w:pStyle w:val="NoPaddingFontSize1"/>
      </w:pPr>
    </w:p>
    <w:p w:rsidR="00000000" w:rsidRPr="0035341C" w:rsidP="0035341C">
      <w:pPr>
        <w:pStyle w:val="AllowPageBreak"/>
      </w:pPr>
    </w:p>
    <w:p w:rsidR="00000000" w:rsidRPr="0035341C" w:rsidP="0035341C">
      <w:pPr>
        <w:pStyle w:val="Heading1"/>
      </w:pPr>
      <w:bookmarkStart w:id="5" w:name="O_1066428"/>
      <w:bookmarkEnd w:id="5"/>
      <w:r w:rsidRPr="0035341C">
        <w:t>Unit Sector</w:t>
      </w:r>
    </w:p>
    <w:tbl>
      <w:tblPr>
        <w:tblW w:w="9497" w:type="dxa"/>
        <w:tblLayout w:type="fixed"/>
        <w:tblCellMar>
          <w:left w:w="62" w:type="dxa"/>
          <w:right w:w="62" w:type="dxa"/>
        </w:tblCellMar>
        <w:tblLook w:val="0000"/>
      </w:tblPr>
      <w:tblGrid>
        <w:gridCol w:w="9497"/>
      </w:tblGrid>
      <w:tr w:rsidTr="003534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5341C" w:rsidP="0035341C">
            <w:pPr>
              <w:pStyle w:val="BodyText"/>
            </w:pPr>
            <w:r w:rsidRPr="0035341C">
              <w:t>Cross sector</w:t>
            </w:r>
          </w:p>
        </w:tc>
      </w:tr>
    </w:tbl>
    <w:p w:rsidR="00000000" w:rsidRPr="0035341C" w:rsidP="0035341C">
      <w:pPr>
        <w:pStyle w:val="NoPaddingFontSize1"/>
      </w:pPr>
    </w:p>
    <w:p w:rsidR="00000000" w:rsidRPr="0035341C" w:rsidP="0035341C">
      <w:pPr>
        <w:pStyle w:val="AllowPageBreak"/>
      </w:pPr>
    </w:p>
    <w:p w:rsidR="00000000" w:rsidRPr="0035341C" w:rsidP="0035341C">
      <w:pPr>
        <w:pStyle w:val="Heading1"/>
      </w:pPr>
      <w:bookmarkStart w:id="6" w:name="O_1066429"/>
      <w:bookmarkEnd w:id="6"/>
      <w:r w:rsidRPr="0035341C">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35341C">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35341C" w:rsidP="0035341C">
            <w:pPr>
              <w:pStyle w:val="BodyText"/>
            </w:pPr>
            <w:r w:rsidRPr="0035341C">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35341C">
            <w:pPr>
              <w:pStyle w:val="BodyText"/>
              <w:rPr>
                <w:lang w:val="en-NZ"/>
              </w:rPr>
            </w:pPr>
            <w:r w:rsidRPr="0035341C">
              <w:rPr>
                <w:rStyle w:val="SpecialBold"/>
              </w:rPr>
              <w:t>PERFORMANCE CRITERIA</w:t>
            </w:r>
          </w:p>
        </w:tc>
      </w:tr>
      <w:tr w:rsidTr="0035341C">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35341C">
            <w:pPr>
              <w:pStyle w:val="BodyText"/>
              <w:rPr>
                <w:lang w:val="en-NZ"/>
              </w:rPr>
            </w:pPr>
            <w:r w:rsidRPr="0035341C">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35341C">
            <w:pPr>
              <w:pStyle w:val="BodyText"/>
              <w:rPr>
                <w:lang w:val="en-NZ"/>
              </w:rPr>
            </w:pPr>
            <w:r w:rsidRPr="0035341C">
              <w:t>Performance criteria describe the performance needed to demonstrate achievement of the element.</w:t>
            </w:r>
          </w:p>
        </w:tc>
      </w:tr>
      <w:tr w:rsidTr="0035341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5341C" w:rsidP="0035341C">
            <w:pPr>
              <w:pStyle w:val="BodyText"/>
            </w:pPr>
            <w:r w:rsidRPr="0035341C">
              <w:rPr>
                <w:rStyle w:val="SpecialBold"/>
              </w:rPr>
              <w:t>1</w:t>
            </w:r>
          </w:p>
        </w:tc>
        <w:tc>
          <w:tcPr>
            <w:tcW w:w="2744" w:type="dxa"/>
            <w:tcBorders>
              <w:top w:val="nil"/>
              <w:left w:val="nil"/>
              <w:bottom w:val="nil"/>
              <w:right w:val="nil"/>
            </w:tcBorders>
            <w:tcMar>
              <w:top w:w="0" w:type="dxa"/>
              <w:left w:w="62" w:type="dxa"/>
              <w:bottom w:w="0" w:type="dxa"/>
              <w:right w:w="62" w:type="dxa"/>
            </w:tcMar>
          </w:tcPr>
          <w:p w:rsidR="00000000" w:rsidRPr="0035341C" w:rsidP="0035341C">
            <w:pPr>
              <w:pStyle w:val="BodyText"/>
            </w:pPr>
            <w:r w:rsidRPr="0035341C">
              <w:rPr>
                <w:rStyle w:val="SpecialBold"/>
              </w:rPr>
              <w:t xml:space="preserve">Identify compliance </w:t>
            </w:r>
            <w:r w:rsidRPr="0035341C">
              <w:rPr>
                <w:rStyle w:val="SpecialBold"/>
              </w:rPr>
              <w:t>requirements</w:t>
            </w:r>
          </w:p>
        </w:tc>
        <w:tc>
          <w:tcPr>
            <w:tcW w:w="697" w:type="dxa"/>
            <w:tcBorders>
              <w:top w:val="nil"/>
              <w:left w:val="nil"/>
              <w:bottom w:val="nil"/>
              <w:right w:val="nil"/>
            </w:tcBorders>
            <w:tcMar>
              <w:top w:w="0" w:type="dxa"/>
              <w:left w:w="62" w:type="dxa"/>
              <w:bottom w:w="0" w:type="dxa"/>
              <w:right w:w="62" w:type="dxa"/>
            </w:tcMar>
          </w:tcPr>
          <w:p w:rsidR="00000000" w:rsidP="0035341C">
            <w:pPr>
              <w:pStyle w:val="BodyText"/>
              <w:rPr>
                <w:lang w:val="en-NZ"/>
              </w:rPr>
            </w:pPr>
            <w:r w:rsidRPr="0035341C">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35341C">
            <w:pPr>
              <w:pStyle w:val="BodyText"/>
              <w:rPr>
                <w:lang w:val="en-NZ"/>
              </w:rPr>
            </w:pPr>
            <w:r w:rsidRPr="0035341C">
              <w:t xml:space="preserve">Compliance strategy, including Key Performance </w:t>
            </w:r>
            <w:r w:rsidRPr="0035341C">
              <w:t>Indicators (KPIs), for the digital supply chain is confirmed</w:t>
            </w:r>
          </w:p>
        </w:tc>
      </w:tr>
      <w:tr w:rsidTr="0035341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5341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5341C">
            <w:pPr>
              <w:pStyle w:val="BodyText"/>
              <w:rPr>
                <w:lang w:val="en-NZ"/>
              </w:rPr>
            </w:pPr>
            <w:r w:rsidRPr="0035341C">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35341C">
            <w:pPr>
              <w:pStyle w:val="BodyText"/>
              <w:rPr>
                <w:lang w:val="en-NZ"/>
              </w:rPr>
            </w:pPr>
            <w:r w:rsidRPr="0035341C">
              <w:t>Legislation, codes of practice and industry standards applicable to digital supply chains are identified</w:t>
            </w:r>
            <w:r w:rsidRPr="0035341C">
              <w:t xml:space="preserve"> </w:t>
            </w:r>
          </w:p>
        </w:tc>
      </w:tr>
      <w:tr w:rsidTr="0035341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5341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5341C">
            <w:pPr>
              <w:pStyle w:val="BodyText"/>
              <w:rPr>
                <w:lang w:val="en-NZ"/>
              </w:rPr>
            </w:pPr>
            <w:r w:rsidRPr="0035341C">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35341C">
            <w:pPr>
              <w:pStyle w:val="BodyText"/>
              <w:rPr>
                <w:lang w:val="en-NZ"/>
              </w:rPr>
            </w:pPr>
            <w:r w:rsidRPr="0035341C">
              <w:t>Compliance policies and procedures, including corrective action protocols and processes, are determined</w:t>
            </w:r>
          </w:p>
        </w:tc>
      </w:tr>
      <w:tr w:rsidTr="0035341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5341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5341C">
            <w:pPr>
              <w:pStyle w:val="BodyText"/>
              <w:rPr>
                <w:lang w:val="en-NZ"/>
              </w:rPr>
            </w:pPr>
            <w:r w:rsidRPr="0035341C">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35341C">
            <w:pPr>
              <w:pStyle w:val="BodyText"/>
              <w:rPr>
                <w:lang w:val="en-NZ"/>
              </w:rPr>
            </w:pPr>
            <w:r w:rsidRPr="0035341C">
              <w:t>Responsibility and level of authority for digital supply chain compliance is verified</w:t>
            </w:r>
          </w:p>
        </w:tc>
      </w:tr>
      <w:tr w:rsidTr="0035341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5341C" w:rsidP="0035341C">
            <w:pPr>
              <w:pStyle w:val="BodyText"/>
            </w:pPr>
            <w:r w:rsidRPr="0035341C">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35341C" w:rsidP="0035341C">
            <w:pPr>
              <w:pStyle w:val="BodyText"/>
            </w:pPr>
            <w:r w:rsidRPr="0035341C">
              <w:rPr>
                <w:rStyle w:val="SpecialBold"/>
              </w:rPr>
              <w:t>Maintain compliance information</w:t>
            </w:r>
            <w:r w:rsidRPr="0035341C">
              <w:t xml:space="preserve"> </w:t>
            </w:r>
            <w:r w:rsidRPr="0035341C">
              <w:rPr>
                <w:rStyle w:val="SpecialBold"/>
              </w:rPr>
              <w:t xml:space="preserve">  </w:t>
            </w:r>
          </w:p>
        </w:tc>
        <w:tc>
          <w:tcPr>
            <w:tcW w:w="697" w:type="dxa"/>
            <w:tcBorders>
              <w:top w:val="nil"/>
              <w:left w:val="nil"/>
              <w:bottom w:val="nil"/>
              <w:right w:val="nil"/>
            </w:tcBorders>
            <w:tcMar>
              <w:top w:w="0" w:type="dxa"/>
              <w:left w:w="62" w:type="dxa"/>
              <w:bottom w:w="0" w:type="dxa"/>
              <w:right w:w="62" w:type="dxa"/>
            </w:tcMar>
          </w:tcPr>
          <w:p w:rsidR="00000000" w:rsidP="0035341C">
            <w:pPr>
              <w:pStyle w:val="BodyText"/>
              <w:rPr>
                <w:lang w:val="en-NZ"/>
              </w:rPr>
            </w:pPr>
            <w:r w:rsidRPr="0035341C">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35341C">
            <w:pPr>
              <w:pStyle w:val="BodyText"/>
              <w:rPr>
                <w:lang w:val="en-NZ"/>
              </w:rPr>
            </w:pPr>
            <w:r w:rsidRPr="0035341C">
              <w:t xml:space="preserve">Compliance data is collected and maintained, in accordance with compliance procedures, using approved systems and tools </w:t>
            </w:r>
          </w:p>
        </w:tc>
      </w:tr>
      <w:tr w:rsidTr="0035341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5341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5341C">
            <w:pPr>
              <w:pStyle w:val="BodyText"/>
              <w:rPr>
                <w:lang w:val="en-NZ"/>
              </w:rPr>
            </w:pPr>
            <w:r w:rsidRPr="0035341C">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35341C">
            <w:pPr>
              <w:pStyle w:val="BodyText"/>
              <w:rPr>
                <w:lang w:val="en-NZ"/>
              </w:rPr>
            </w:pPr>
            <w:r w:rsidRPr="0035341C">
              <w:t>Supplier</w:t>
            </w:r>
            <w:r>
              <w:t>’</w:t>
            </w:r>
            <w:r w:rsidRPr="0035341C">
              <w:t>s financial viability, contract compliance and third party affiliations are validated, in accordance with compliance pr</w:t>
            </w:r>
            <w:r w:rsidRPr="0035341C">
              <w:t>ocedures</w:t>
            </w:r>
          </w:p>
        </w:tc>
      </w:tr>
      <w:tr w:rsidTr="0035341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5341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5341C">
            <w:pPr>
              <w:pStyle w:val="BodyText"/>
              <w:rPr>
                <w:lang w:val="en-NZ"/>
              </w:rPr>
            </w:pPr>
            <w:r w:rsidRPr="0035341C">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35341C">
            <w:pPr>
              <w:pStyle w:val="BodyText"/>
              <w:rPr>
                <w:lang w:val="en-NZ"/>
              </w:rPr>
            </w:pPr>
            <w:r w:rsidRPr="0035341C">
              <w:t>Supplier certificates, disclosure statements and other supporting documentation are maintained, in accordance with compliance procedures and legislative obligations</w:t>
            </w:r>
          </w:p>
        </w:tc>
      </w:tr>
      <w:tr w:rsidTr="0035341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5341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5341C">
            <w:pPr>
              <w:pStyle w:val="BodyText"/>
              <w:rPr>
                <w:lang w:val="en-NZ"/>
              </w:rPr>
            </w:pPr>
            <w:r w:rsidRPr="0035341C">
              <w:rPr>
                <w:rStyle w:val="SpecialBold"/>
              </w:rPr>
              <w:t xml:space="preserve">2.4 </w:t>
            </w:r>
          </w:p>
        </w:tc>
        <w:tc>
          <w:tcPr>
            <w:tcW w:w="5592" w:type="dxa"/>
            <w:tcBorders>
              <w:top w:val="nil"/>
              <w:left w:val="nil"/>
              <w:bottom w:val="nil"/>
              <w:right w:val="nil"/>
            </w:tcBorders>
            <w:tcMar>
              <w:top w:w="0" w:type="dxa"/>
              <w:left w:w="62" w:type="dxa"/>
              <w:bottom w:w="0" w:type="dxa"/>
              <w:right w:w="62" w:type="dxa"/>
            </w:tcMar>
          </w:tcPr>
          <w:p w:rsidR="00000000" w:rsidP="0035341C">
            <w:pPr>
              <w:pStyle w:val="BodyText"/>
              <w:rPr>
                <w:lang w:val="en-NZ"/>
              </w:rPr>
            </w:pPr>
            <w:r w:rsidRPr="0035341C">
              <w:t xml:space="preserve">Compliance information is communicated to digital supply chain stakeholders </w:t>
            </w:r>
          </w:p>
        </w:tc>
      </w:tr>
      <w:tr w:rsidTr="0035341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5341C" w:rsidP="0035341C">
            <w:pPr>
              <w:pStyle w:val="BodyText"/>
            </w:pPr>
            <w:r w:rsidRPr="0035341C">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35341C" w:rsidP="0035341C">
            <w:pPr>
              <w:pStyle w:val="BodyText"/>
            </w:pPr>
            <w:r w:rsidRPr="0035341C">
              <w:rPr>
                <w:rStyle w:val="SpecialBold"/>
              </w:rPr>
              <w:t xml:space="preserve">Monitor compliance </w:t>
            </w:r>
          </w:p>
        </w:tc>
        <w:tc>
          <w:tcPr>
            <w:tcW w:w="697" w:type="dxa"/>
            <w:tcBorders>
              <w:top w:val="nil"/>
              <w:left w:val="nil"/>
              <w:bottom w:val="nil"/>
              <w:right w:val="nil"/>
            </w:tcBorders>
            <w:tcMar>
              <w:top w:w="0" w:type="dxa"/>
              <w:left w:w="62" w:type="dxa"/>
              <w:bottom w:w="0" w:type="dxa"/>
              <w:right w:w="62" w:type="dxa"/>
            </w:tcMar>
          </w:tcPr>
          <w:p w:rsidR="00000000" w:rsidP="0035341C">
            <w:pPr>
              <w:pStyle w:val="BodyText"/>
              <w:rPr>
                <w:lang w:val="en-NZ"/>
              </w:rPr>
            </w:pPr>
            <w:r w:rsidRPr="0035341C">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35341C">
            <w:pPr>
              <w:pStyle w:val="BodyText"/>
              <w:rPr>
                <w:lang w:val="en-NZ"/>
              </w:rPr>
            </w:pPr>
            <w:r w:rsidRPr="0035341C">
              <w:t>Compliance gaps in the digital supply chain are monitored, using approved methods and tools, to mitigate risks and identify areas of improvement</w:t>
            </w:r>
          </w:p>
        </w:tc>
      </w:tr>
      <w:tr w:rsidTr="0035341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5341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5341C">
            <w:pPr>
              <w:pStyle w:val="BodyText"/>
              <w:rPr>
                <w:lang w:val="en-NZ"/>
              </w:rPr>
            </w:pPr>
            <w:r w:rsidRPr="0035341C">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35341C">
            <w:pPr>
              <w:pStyle w:val="BodyText"/>
              <w:rPr>
                <w:lang w:val="en-NZ"/>
              </w:rPr>
            </w:pPr>
            <w:r w:rsidRPr="0035341C">
              <w:t>Quality system reports are monitored and non-compliance issues are tracked, in accordance with compliance procedures</w:t>
            </w:r>
          </w:p>
        </w:tc>
      </w:tr>
      <w:tr w:rsidTr="0035341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5341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5341C">
            <w:pPr>
              <w:pStyle w:val="BodyText"/>
              <w:rPr>
                <w:lang w:val="en-NZ"/>
              </w:rPr>
            </w:pPr>
            <w:r w:rsidRPr="0035341C">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35341C">
            <w:pPr>
              <w:pStyle w:val="BodyText"/>
              <w:rPr>
                <w:lang w:val="en-NZ"/>
              </w:rPr>
            </w:pPr>
            <w:r w:rsidRPr="0035341C">
              <w:t>Cyber security and data storage risks are monitored, in accordance with compliance procedures, to ensure digital supply chain integr</w:t>
            </w:r>
            <w:r w:rsidRPr="0035341C">
              <w:t xml:space="preserve">ity </w:t>
            </w:r>
          </w:p>
        </w:tc>
      </w:tr>
      <w:tr w:rsidTr="0035341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5341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5341C">
            <w:pPr>
              <w:pStyle w:val="BodyText"/>
              <w:rPr>
                <w:lang w:val="en-NZ"/>
              </w:rPr>
            </w:pPr>
            <w:r w:rsidRPr="0035341C">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35341C">
            <w:pPr>
              <w:pStyle w:val="BodyText"/>
              <w:rPr>
                <w:lang w:val="en-NZ"/>
              </w:rPr>
            </w:pPr>
            <w:r w:rsidRPr="0035341C">
              <w:t xml:space="preserve">Legislative and regulatory compliance is monitored throughout the digital supply chain, in accordance with compliance procedures  </w:t>
            </w:r>
          </w:p>
        </w:tc>
      </w:tr>
      <w:tr w:rsidTr="0035341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5341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5341C">
            <w:pPr>
              <w:pStyle w:val="BodyText"/>
              <w:rPr>
                <w:lang w:val="en-NZ"/>
              </w:rPr>
            </w:pPr>
            <w:r w:rsidRPr="0035341C">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35341C">
            <w:pPr>
              <w:pStyle w:val="BodyText"/>
              <w:rPr>
                <w:lang w:val="en-NZ"/>
              </w:rPr>
            </w:pPr>
            <w:r w:rsidRPr="0035341C">
              <w:t xml:space="preserve">Non-compliance actions and breaches, including whistle blower reports, are documented and corrective actions are monitored, in accordance with compliance procedures </w:t>
            </w:r>
          </w:p>
        </w:tc>
      </w:tr>
      <w:tr w:rsidTr="0035341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5341C" w:rsidP="0035341C">
            <w:pPr>
              <w:pStyle w:val="BodyText"/>
            </w:pPr>
            <w:r w:rsidRPr="0035341C">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35341C" w:rsidP="0035341C">
            <w:pPr>
              <w:pStyle w:val="BodyText"/>
            </w:pPr>
            <w:r w:rsidRPr="0035341C">
              <w:rPr>
                <w:rStyle w:val="SpecialBold"/>
              </w:rPr>
              <w:t>Review and report on compliance</w:t>
            </w:r>
          </w:p>
        </w:tc>
        <w:tc>
          <w:tcPr>
            <w:tcW w:w="697" w:type="dxa"/>
            <w:tcBorders>
              <w:top w:val="nil"/>
              <w:left w:val="nil"/>
              <w:bottom w:val="nil"/>
              <w:right w:val="nil"/>
            </w:tcBorders>
            <w:tcMar>
              <w:top w:w="0" w:type="dxa"/>
              <w:left w:w="62" w:type="dxa"/>
              <w:bottom w:w="0" w:type="dxa"/>
              <w:right w:w="62" w:type="dxa"/>
            </w:tcMar>
          </w:tcPr>
          <w:p w:rsidR="00000000" w:rsidP="0035341C">
            <w:pPr>
              <w:pStyle w:val="BodyText"/>
              <w:rPr>
                <w:lang w:val="en-NZ"/>
              </w:rPr>
            </w:pPr>
            <w:r w:rsidRPr="0035341C">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35341C">
            <w:pPr>
              <w:pStyle w:val="BodyText"/>
              <w:rPr>
                <w:lang w:val="en-NZ"/>
              </w:rPr>
            </w:pPr>
            <w:r w:rsidRPr="0035341C">
              <w:t>Compliance strategy and KPIs are reviewed, in consu</w:t>
            </w:r>
            <w:r w:rsidRPr="0035341C">
              <w:t xml:space="preserve">ltation with digital supply chain stakeholders, to identify improvements  </w:t>
            </w:r>
          </w:p>
        </w:tc>
      </w:tr>
      <w:tr w:rsidTr="0035341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5341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5341C">
            <w:pPr>
              <w:pStyle w:val="BodyText"/>
              <w:rPr>
                <w:lang w:val="en-NZ"/>
              </w:rPr>
            </w:pPr>
            <w:r w:rsidRPr="0035341C">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35341C">
            <w:pPr>
              <w:pStyle w:val="BodyText"/>
              <w:rPr>
                <w:lang w:val="en-NZ"/>
              </w:rPr>
            </w:pPr>
            <w:r w:rsidRPr="0035341C">
              <w:t xml:space="preserve">Digital supply chain compliance report, including recommendations, is prepared and presented to approved stakeholders </w:t>
            </w:r>
          </w:p>
        </w:tc>
      </w:tr>
      <w:tr w:rsidTr="0035341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5341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5341C">
            <w:pPr>
              <w:pStyle w:val="BodyText"/>
              <w:rPr>
                <w:lang w:val="en-NZ"/>
              </w:rPr>
            </w:pPr>
            <w:r w:rsidRPr="0035341C">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RPr="0035341C" w:rsidP="0035341C">
            <w:pPr>
              <w:pStyle w:val="BodyText"/>
            </w:pPr>
            <w:r w:rsidRPr="0035341C">
              <w:t>Continuous improvement actions to support digita</w:t>
            </w:r>
            <w:r w:rsidRPr="0035341C">
              <w:t>l supply chain compliance are documented</w:t>
            </w:r>
          </w:p>
        </w:tc>
      </w:tr>
    </w:tbl>
    <w:p w:rsidR="00000000" w:rsidRPr="0035341C" w:rsidP="0035341C">
      <w:pPr>
        <w:pStyle w:val="NoPaddingFontSize1"/>
      </w:pPr>
    </w:p>
    <w:p w:rsidR="00000000" w:rsidRPr="0035341C" w:rsidP="0035341C">
      <w:pPr>
        <w:pStyle w:val="AllowPageBreak"/>
      </w:pPr>
    </w:p>
    <w:p w:rsidR="00000000" w:rsidRPr="0035341C" w:rsidP="0035341C">
      <w:pPr>
        <w:pStyle w:val="Heading1"/>
      </w:pPr>
      <w:bookmarkStart w:id="7" w:name="O_1066430"/>
      <w:bookmarkEnd w:id="7"/>
      <w:r w:rsidRPr="0035341C">
        <w:t>Foundation Skills</w:t>
      </w:r>
    </w:p>
    <w:tbl>
      <w:tblPr>
        <w:tblW w:w="9497" w:type="dxa"/>
        <w:tblLayout w:type="fixed"/>
        <w:tblCellMar>
          <w:left w:w="62" w:type="dxa"/>
          <w:right w:w="62" w:type="dxa"/>
        </w:tblCellMar>
        <w:tblLook w:val="0000"/>
      </w:tblPr>
      <w:tblGrid>
        <w:gridCol w:w="9497"/>
      </w:tblGrid>
      <w:tr w:rsidTr="003534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5341C" w:rsidP="0035341C">
            <w:pPr>
              <w:pStyle w:val="BodyText"/>
            </w:pPr>
            <w:r w:rsidRPr="0035341C">
              <w:t>Foundation skills essential to performance are explicit in the performance criteria of this unit of competency.</w:t>
            </w:r>
          </w:p>
        </w:tc>
      </w:tr>
    </w:tbl>
    <w:p w:rsidR="00000000" w:rsidRPr="0035341C" w:rsidP="0035341C">
      <w:pPr>
        <w:pStyle w:val="NoPaddingFontSize1"/>
      </w:pPr>
    </w:p>
    <w:p w:rsidR="00000000" w:rsidRPr="0035341C" w:rsidP="0035341C">
      <w:pPr>
        <w:pStyle w:val="AllowPageBreak"/>
      </w:pPr>
    </w:p>
    <w:p w:rsidR="00000000" w:rsidRPr="0035341C" w:rsidP="0035341C">
      <w:pPr>
        <w:pStyle w:val="Heading1"/>
      </w:pPr>
      <w:bookmarkStart w:id="8" w:name="O_1066431"/>
      <w:bookmarkEnd w:id="8"/>
      <w:r w:rsidRPr="0035341C">
        <w:t>Range of Conditions</w:t>
      </w:r>
    </w:p>
    <w:tbl>
      <w:tblPr>
        <w:tblW w:w="9497" w:type="dxa"/>
        <w:tblLayout w:type="fixed"/>
        <w:tblCellMar>
          <w:left w:w="62" w:type="dxa"/>
          <w:right w:w="62" w:type="dxa"/>
        </w:tblCellMar>
        <w:tblLook w:val="0000"/>
      </w:tblPr>
      <w:tblGrid>
        <w:gridCol w:w="9497"/>
      </w:tblGrid>
      <w:tr w:rsidTr="003534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5341C" w:rsidP="0035341C">
            <w:pPr>
              <w:pStyle w:val="BodyText"/>
            </w:pPr>
            <w:r w:rsidRPr="0035341C">
              <w:t>Range is restricted to essential operating conditions and any other variables essential to the work environment.</w:t>
            </w:r>
          </w:p>
          <w:p w:rsidR="00000000" w:rsidRPr="0035341C" w:rsidP="0035341C">
            <w:pPr>
              <w:pStyle w:val="BodyText"/>
            </w:pPr>
            <w:r w:rsidRPr="0035341C">
              <w:t>Non-essential conditions may be found in the Companion Volume Implementation Guide.</w:t>
            </w:r>
          </w:p>
        </w:tc>
      </w:tr>
    </w:tbl>
    <w:p w:rsidR="00000000" w:rsidRPr="0035341C" w:rsidP="0035341C">
      <w:pPr>
        <w:pStyle w:val="NoPaddingFontSize1"/>
      </w:pPr>
    </w:p>
    <w:p w:rsidR="00000000" w:rsidRPr="0035341C" w:rsidP="0035341C">
      <w:pPr>
        <w:pStyle w:val="AllowPageBreak"/>
      </w:pPr>
    </w:p>
    <w:p w:rsidR="00000000" w:rsidRPr="0035341C" w:rsidP="0035341C">
      <w:pPr>
        <w:pStyle w:val="Heading1"/>
      </w:pPr>
      <w:bookmarkStart w:id="9" w:name="O_1066432"/>
      <w:bookmarkEnd w:id="9"/>
      <w:r w:rsidRPr="0035341C">
        <w:t>Unit Mapping Information</w:t>
      </w:r>
    </w:p>
    <w:tbl>
      <w:tblPr>
        <w:tblW w:w="9497" w:type="dxa"/>
        <w:tblLayout w:type="fixed"/>
        <w:tblCellMar>
          <w:left w:w="62" w:type="dxa"/>
          <w:right w:w="62" w:type="dxa"/>
        </w:tblCellMar>
        <w:tblLook w:val="0000"/>
      </w:tblPr>
      <w:tblGrid>
        <w:gridCol w:w="9497"/>
      </w:tblGrid>
      <w:tr w:rsidTr="003534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5341C" w:rsidP="0035341C">
            <w:pPr>
              <w:pStyle w:val="BodyText"/>
            </w:pPr>
            <w:r w:rsidRPr="0035341C">
              <w:t>This is a new</w:t>
            </w:r>
            <w:r w:rsidRPr="0035341C">
              <w:t xml:space="preserve"> unit. There is no equivalent unit.</w:t>
            </w:r>
          </w:p>
        </w:tc>
      </w:tr>
    </w:tbl>
    <w:p w:rsidR="00000000" w:rsidRPr="0035341C" w:rsidP="0035341C">
      <w:pPr>
        <w:pStyle w:val="NoPaddingFontSize1"/>
      </w:pPr>
    </w:p>
    <w:p w:rsidR="00000000" w:rsidRPr="0035341C" w:rsidP="0035341C">
      <w:pPr>
        <w:pStyle w:val="AllowPageBreak"/>
      </w:pPr>
    </w:p>
    <w:p w:rsidR="00000000" w:rsidRPr="0035341C" w:rsidP="0035341C">
      <w:pPr>
        <w:pStyle w:val="Heading1"/>
      </w:pPr>
      <w:bookmarkStart w:id="10" w:name="O_1066439"/>
      <w:bookmarkEnd w:id="10"/>
      <w:r w:rsidRPr="0035341C">
        <w:t>Links</w:t>
      </w:r>
    </w:p>
    <w:p w:rsidR="00000000" w:rsidRPr="0035341C" w:rsidP="00B7217A">
      <w:pPr>
        <w:pStyle w:val="BodyText"/>
      </w:pPr>
      <w:r w:rsidRPr="0035341C">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9F1D6C">
        <w:rPr>
          <w:rStyle w:val="Hyperlink"/>
        </w:rPr>
        <w:t>https://vetnet.gov.au/Pages/TrainingDocs.aspx?q=df441c6e-213d-43e3-874c-0b3f7036d851</w:t>
      </w:r>
      <w:r>
        <w:fldChar w:fldCharType="end"/>
      </w:r>
    </w:p>
    <w:p w:rsidR="00000000" w:rsidRPr="0035341C" w:rsidP="0035341C"/>
    <w:sectPr w:rsidSect="0035341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4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41C" w:rsidRPr="00B7217A" w:rsidP="00B721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4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17A" w:rsidP="003534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7217A" w:rsidP="0035341C">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B7217A" w:rsidP="0035341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4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17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5341C" w:rsidRPr="00B7217A" w:rsidP="00B7217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4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17A" w:rsidRPr="002D2AF8" w:rsidP="0035341C">
    <w:pPr>
      <w:pStyle w:val="Header"/>
      <w:framePr w:wrap="around"/>
    </w:pPr>
    <w:r>
      <w:fldChar w:fldCharType="begin"/>
    </w:r>
    <w:r>
      <w:instrText xml:space="preserve"> TITLE   \* MERGEFORMAT </w:instrText>
    </w:r>
    <w:r>
      <w:fldChar w:fldCharType="separate"/>
    </w:r>
    <w:r>
      <w:t>TLIX0018X Monitor compliance in digital supply chains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B7217A" w:rsidP="0035341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341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5341C"/>
    <w:pPr>
      <w:spacing w:before="360" w:after="60"/>
      <w:outlineLvl w:val="0"/>
    </w:pPr>
    <w:rPr>
      <w:sz w:val="32"/>
    </w:rPr>
  </w:style>
  <w:style w:type="paragraph" w:styleId="Heading2">
    <w:name w:val="heading 2"/>
    <w:basedOn w:val="HeadingBase"/>
    <w:next w:val="BodyText"/>
    <w:link w:val="Heading2Char"/>
    <w:qFormat/>
    <w:rsid w:val="0035341C"/>
    <w:pPr>
      <w:keepLines/>
      <w:spacing w:before="240" w:after="120"/>
      <w:outlineLvl w:val="1"/>
    </w:pPr>
    <w:rPr>
      <w:sz w:val="28"/>
      <w:szCs w:val="40"/>
    </w:rPr>
  </w:style>
  <w:style w:type="paragraph" w:styleId="Heading3">
    <w:name w:val="heading 3"/>
    <w:basedOn w:val="HeadingBase"/>
    <w:next w:val="BodyText"/>
    <w:link w:val="Heading3Char"/>
    <w:qFormat/>
    <w:rsid w:val="0035341C"/>
    <w:pPr>
      <w:spacing w:before="180" w:after="120"/>
      <w:outlineLvl w:val="2"/>
    </w:pPr>
    <w:rPr>
      <w:spacing w:val="-10"/>
      <w:kern w:val="32"/>
    </w:rPr>
  </w:style>
  <w:style w:type="paragraph" w:styleId="Heading4">
    <w:name w:val="heading 4"/>
    <w:basedOn w:val="HeadingBase"/>
    <w:next w:val="BodyText"/>
    <w:link w:val="Heading4Char"/>
    <w:qFormat/>
    <w:rsid w:val="0035341C"/>
    <w:pPr>
      <w:spacing w:before="160" w:after="120"/>
      <w:outlineLvl w:val="3"/>
    </w:pPr>
    <w:rPr>
      <w:sz w:val="22"/>
    </w:rPr>
  </w:style>
  <w:style w:type="paragraph" w:styleId="Heading5">
    <w:name w:val="heading 5"/>
    <w:basedOn w:val="HeadingBase"/>
    <w:next w:val="Normal"/>
    <w:link w:val="Heading5Char"/>
    <w:qFormat/>
    <w:rsid w:val="0035341C"/>
    <w:pPr>
      <w:spacing w:before="80"/>
      <w:outlineLvl w:val="4"/>
    </w:pPr>
    <w:rPr>
      <w:color w:val="918585"/>
      <w:sz w:val="20"/>
    </w:rPr>
  </w:style>
  <w:style w:type="paragraph" w:styleId="Heading6">
    <w:name w:val="heading 6"/>
    <w:basedOn w:val="HeadingBase"/>
    <w:next w:val="Normal"/>
    <w:link w:val="Heading6Char"/>
    <w:qFormat/>
    <w:rsid w:val="0035341C"/>
    <w:pPr>
      <w:spacing w:before="60"/>
      <w:outlineLvl w:val="5"/>
    </w:pPr>
    <w:rPr>
      <w:color w:val="918585"/>
      <w:sz w:val="20"/>
    </w:rPr>
  </w:style>
  <w:style w:type="paragraph" w:styleId="Heading7">
    <w:name w:val="heading 7"/>
    <w:basedOn w:val="Normal"/>
    <w:next w:val="Normal"/>
    <w:link w:val="Heading7Char"/>
    <w:qFormat/>
    <w:rsid w:val="0035341C"/>
    <w:pPr>
      <w:ind w:left="720"/>
      <w:outlineLvl w:val="6"/>
    </w:pPr>
    <w:rPr>
      <w:i/>
    </w:rPr>
  </w:style>
  <w:style w:type="paragraph" w:styleId="Heading8">
    <w:name w:val="heading 8"/>
    <w:basedOn w:val="Normal"/>
    <w:next w:val="Normal"/>
    <w:link w:val="Heading8Char"/>
    <w:qFormat/>
    <w:rsid w:val="0035341C"/>
    <w:pPr>
      <w:ind w:left="720"/>
      <w:outlineLvl w:val="7"/>
    </w:pPr>
    <w:rPr>
      <w:i/>
    </w:rPr>
  </w:style>
  <w:style w:type="paragraph" w:styleId="Heading9">
    <w:name w:val="heading 9"/>
    <w:basedOn w:val="Normal"/>
    <w:next w:val="Normal"/>
    <w:link w:val="Heading9Char"/>
    <w:qFormat/>
    <w:rsid w:val="0035341C"/>
    <w:pPr>
      <w:ind w:left="720"/>
      <w:outlineLvl w:val="8"/>
    </w:pPr>
    <w:rPr>
      <w:i/>
    </w:rPr>
  </w:style>
  <w:style w:type="character" w:default="1" w:styleId="DefaultParagraphFont">
    <w:name w:val="Default Paragraph Font"/>
    <w:uiPriority w:val="1"/>
    <w:unhideWhenUsed/>
    <w:rsid w:val="003534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341C"/>
  </w:style>
  <w:style w:type="character" w:customStyle="1" w:styleId="Heading1Char">
    <w:name w:val="Heading 1 Char"/>
    <w:basedOn w:val="DefaultParagraphFont"/>
    <w:link w:val="Heading1"/>
    <w:rsid w:val="0035341C"/>
    <w:rPr>
      <w:rFonts w:ascii="Times New Roman" w:eastAsia="Times New Roman" w:hAnsi="Times New Roman" w:cs="Times New Roman"/>
      <w:b/>
      <w:sz w:val="32"/>
      <w:szCs w:val="20"/>
      <w:lang w:eastAsia="en-US"/>
    </w:rPr>
  </w:style>
  <w:style w:type="paragraph" w:styleId="BodyText">
    <w:name w:val="Body Text"/>
    <w:basedOn w:val="Normal"/>
    <w:link w:val="BodyTextChar"/>
    <w:rsid w:val="0035341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5341C"/>
    <w:rPr>
      <w:rFonts w:ascii="Times New Roman" w:eastAsia="Times New Roman" w:hAnsi="Times New Roman" w:cs="Times New Roman"/>
      <w:sz w:val="24"/>
      <w:lang w:eastAsia="en-US"/>
    </w:rPr>
  </w:style>
  <w:style w:type="character" w:customStyle="1" w:styleId="SpecialBold">
    <w:name w:val="Special Bold"/>
    <w:basedOn w:val="DefaultParagraphFont"/>
    <w:rsid w:val="0035341C"/>
    <w:rPr>
      <w:b/>
      <w:spacing w:val="0"/>
    </w:rPr>
  </w:style>
  <w:style w:type="paragraph" w:customStyle="1" w:styleId="SuperHeading">
    <w:name w:val="SuperHeading"/>
    <w:basedOn w:val="Normal"/>
    <w:rsid w:val="0035341C"/>
    <w:pPr>
      <w:spacing w:before="240" w:after="120"/>
      <w:outlineLvl w:val="0"/>
    </w:pPr>
    <w:rPr>
      <w:rFonts w:ascii="Times New Roman" w:hAnsi="Times New Roman"/>
      <w:b/>
      <w:sz w:val="32"/>
    </w:rPr>
  </w:style>
  <w:style w:type="paragraph" w:customStyle="1" w:styleId="AllowPageBreak">
    <w:name w:val="AllowPageBreak"/>
    <w:rsid w:val="0035341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534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34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34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34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34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341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5341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5341C"/>
    <w:rPr>
      <w:rFonts w:ascii="Courier New" w:eastAsia="Times New Roman" w:hAnsi="Courier New" w:cs="Times New Roman"/>
      <w:i/>
      <w:szCs w:val="20"/>
      <w:lang w:eastAsia="en-US"/>
    </w:rPr>
  </w:style>
  <w:style w:type="paragraph" w:customStyle="1" w:styleId="HeadingBase">
    <w:name w:val="Heading Base"/>
    <w:rsid w:val="003534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341C"/>
    <w:pPr>
      <w:tabs>
        <w:tab w:val="right" w:leader="dot" w:pos="9072"/>
      </w:tabs>
      <w:ind w:left="567"/>
    </w:pPr>
    <w:rPr>
      <w:szCs w:val="22"/>
    </w:rPr>
  </w:style>
  <w:style w:type="paragraph" w:customStyle="1" w:styleId="TOCBase">
    <w:name w:val="TOC Base"/>
    <w:rsid w:val="003534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341C"/>
    <w:pPr>
      <w:tabs>
        <w:tab w:val="right" w:leader="dot" w:pos="9072"/>
      </w:tabs>
      <w:spacing w:before="40" w:after="40"/>
      <w:ind w:left="284"/>
    </w:pPr>
    <w:rPr>
      <w:rFonts w:ascii="Times New Roman" w:hAnsi="Times New Roman"/>
    </w:rPr>
  </w:style>
  <w:style w:type="paragraph" w:styleId="TOC1">
    <w:name w:val="toc 1"/>
    <w:basedOn w:val="TOCBase"/>
    <w:next w:val="Normal"/>
    <w:rsid w:val="0035341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534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341C"/>
    <w:rPr>
      <w:rFonts w:ascii="Times New Roman" w:eastAsia="Times New Roman" w:hAnsi="Times New Roman" w:cs="Times New Roman"/>
      <w:sz w:val="16"/>
      <w:lang w:eastAsia="en-US"/>
    </w:rPr>
  </w:style>
  <w:style w:type="paragraph" w:styleId="Title">
    <w:name w:val="Title"/>
    <w:basedOn w:val="HeadingBase"/>
    <w:link w:val="TitleChar"/>
    <w:qFormat/>
    <w:rsid w:val="0035341C"/>
    <w:pPr>
      <w:spacing w:before="5040"/>
      <w:jc w:val="center"/>
    </w:pPr>
    <w:rPr>
      <w:sz w:val="48"/>
      <w:szCs w:val="72"/>
      <w:lang w:val="en-US"/>
    </w:rPr>
  </w:style>
  <w:style w:type="character" w:customStyle="1" w:styleId="TitleChar">
    <w:name w:val="Title Char"/>
    <w:basedOn w:val="DefaultParagraphFont"/>
    <w:link w:val="Title"/>
    <w:rsid w:val="003534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341C"/>
    <w:pPr>
      <w:tabs>
        <w:tab w:val="left" w:pos="3600"/>
        <w:tab w:val="left" w:pos="3958"/>
      </w:tabs>
    </w:pPr>
  </w:style>
  <w:style w:type="paragraph" w:styleId="List">
    <w:name w:val="List"/>
    <w:basedOn w:val="BodyText"/>
    <w:next w:val="BodyText"/>
    <w:rsid w:val="0035341C"/>
    <w:pPr>
      <w:tabs>
        <w:tab w:val="left" w:pos="340"/>
      </w:tabs>
      <w:spacing w:before="60" w:after="60"/>
      <w:ind w:left="340" w:hanging="340"/>
    </w:pPr>
  </w:style>
  <w:style w:type="paragraph" w:styleId="ListBullet">
    <w:name w:val="List Bullet"/>
    <w:basedOn w:val="List"/>
    <w:rsid w:val="0035341C"/>
    <w:pPr>
      <w:numPr>
        <w:numId w:val="10"/>
      </w:numPr>
      <w:tabs>
        <w:tab w:val="clear" w:pos="340"/>
      </w:tabs>
      <w:spacing w:before="40" w:after="40"/>
    </w:pPr>
  </w:style>
  <w:style w:type="paragraph" w:customStyle="1" w:styleId="Note">
    <w:name w:val="Note"/>
    <w:basedOn w:val="BodyText"/>
    <w:rsid w:val="0035341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341C"/>
    <w:pPr>
      <w:framePr w:wrap="auto" w:hAnchor="text" w:y="6049"/>
    </w:pPr>
    <w:rPr>
      <w:color w:val="000000"/>
      <w:sz w:val="40"/>
    </w:rPr>
  </w:style>
  <w:style w:type="paragraph" w:customStyle="1" w:styleId="TOCTitle">
    <w:name w:val="TOCTitle"/>
    <w:basedOn w:val="Heading1"/>
    <w:rsid w:val="0035341C"/>
    <w:pPr>
      <w:spacing w:after="240"/>
      <w:jc w:val="center"/>
      <w:outlineLvl w:val="9"/>
    </w:pPr>
    <w:rPr>
      <w:caps/>
    </w:rPr>
  </w:style>
  <w:style w:type="paragraph" w:customStyle="1" w:styleId="Version">
    <w:name w:val="Version"/>
    <w:rsid w:val="0035341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5341C"/>
    <w:pPr>
      <w:numPr>
        <w:numId w:val="11"/>
      </w:numPr>
      <w:tabs>
        <w:tab w:val="clear" w:pos="680"/>
      </w:tabs>
    </w:pPr>
  </w:style>
  <w:style w:type="paragraph" w:styleId="Index1">
    <w:name w:val="index 1"/>
    <w:basedOn w:val="Normal"/>
    <w:next w:val="Normal"/>
    <w:semiHidden/>
    <w:rsid w:val="0035341C"/>
    <w:pPr>
      <w:keepNext w:val="0"/>
      <w:tabs>
        <w:tab w:val="right" w:pos="4176"/>
      </w:tabs>
      <w:ind w:left="198" w:hanging="198"/>
    </w:pPr>
    <w:rPr>
      <w:rFonts w:ascii="Garamond" w:hAnsi="Garamond"/>
    </w:rPr>
  </w:style>
  <w:style w:type="paragraph" w:styleId="IndexHeading">
    <w:name w:val="index heading"/>
    <w:basedOn w:val="Normal"/>
    <w:next w:val="Index1"/>
    <w:semiHidden/>
    <w:rsid w:val="0035341C"/>
    <w:pPr>
      <w:spacing w:before="120" w:after="120"/>
    </w:pPr>
    <w:rPr>
      <w:rFonts w:ascii="Arial" w:hAnsi="Arial"/>
      <w:b/>
      <w:color w:val="918585"/>
      <w:sz w:val="24"/>
    </w:rPr>
  </w:style>
  <w:style w:type="paragraph" w:styleId="Header">
    <w:name w:val="header"/>
    <w:basedOn w:val="Normal"/>
    <w:link w:val="HeaderChar"/>
    <w:rsid w:val="003534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341C"/>
    <w:rPr>
      <w:rFonts w:ascii="Times New Roman" w:eastAsia="Times New Roman" w:hAnsi="Times New Roman" w:cs="Times New Roman"/>
      <w:sz w:val="16"/>
      <w:szCs w:val="20"/>
      <w:lang w:val="en-GB" w:eastAsia="en-US"/>
    </w:rPr>
  </w:style>
  <w:style w:type="paragraph" w:customStyle="1" w:styleId="Chapter">
    <w:name w:val="Chapter"/>
    <w:basedOn w:val="Normal"/>
    <w:rsid w:val="0035341C"/>
    <w:pPr>
      <w:spacing w:before="240"/>
    </w:pPr>
    <w:rPr>
      <w:rFonts w:ascii="Times New Roman" w:hAnsi="Times New Roman"/>
      <w:smallCaps/>
      <w:spacing w:val="80"/>
      <w:sz w:val="28"/>
    </w:rPr>
  </w:style>
  <w:style w:type="paragraph" w:customStyle="1" w:styleId="InChapter">
    <w:name w:val="InChapter"/>
    <w:basedOn w:val="Heading3"/>
    <w:rsid w:val="0035341C"/>
    <w:pPr>
      <w:spacing w:after="240"/>
      <w:outlineLvl w:val="9"/>
    </w:pPr>
    <w:rPr>
      <w:noProof/>
    </w:rPr>
  </w:style>
  <w:style w:type="paragraph" w:styleId="Index2">
    <w:name w:val="index 2"/>
    <w:basedOn w:val="Normal"/>
    <w:next w:val="Normal"/>
    <w:semiHidden/>
    <w:rsid w:val="0035341C"/>
    <w:pPr>
      <w:tabs>
        <w:tab w:val="right" w:pos="4176"/>
      </w:tabs>
      <w:ind w:left="568" w:hanging="284"/>
    </w:pPr>
    <w:rPr>
      <w:rFonts w:ascii="Garamond" w:hAnsi="Garamond"/>
    </w:rPr>
  </w:style>
  <w:style w:type="paragraph" w:customStyle="1" w:styleId="Byline">
    <w:name w:val="Byline"/>
    <w:rsid w:val="003534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341C"/>
    <w:pPr>
      <w:tabs>
        <w:tab w:val="clear" w:pos="3600"/>
        <w:tab w:val="clear" w:pos="3958"/>
      </w:tabs>
      <w:jc w:val="right"/>
    </w:pPr>
  </w:style>
  <w:style w:type="character" w:styleId="Emphasis">
    <w:name w:val="Emphasis"/>
    <w:basedOn w:val="DefaultParagraphFont"/>
    <w:qFormat/>
    <w:rsid w:val="0035341C"/>
    <w:rPr>
      <w:i/>
    </w:rPr>
  </w:style>
  <w:style w:type="paragraph" w:styleId="Caption">
    <w:name w:val="caption"/>
    <w:basedOn w:val="BodyText"/>
    <w:next w:val="Normal"/>
    <w:qFormat/>
    <w:rsid w:val="0035341C"/>
    <w:pPr>
      <w:framePr w:w="2268" w:hSpace="181" w:vSpace="181" w:wrap="around" w:vAnchor="text" w:hAnchor="page" w:x="1135" w:y="285" w:anchorLock="1"/>
    </w:pPr>
    <w:rPr>
      <w:i/>
    </w:rPr>
  </w:style>
  <w:style w:type="paragraph" w:customStyle="1" w:styleId="MiniTOCTitle">
    <w:name w:val="MiniTOCTitle"/>
    <w:basedOn w:val="Heading4"/>
    <w:rsid w:val="0035341C"/>
    <w:pPr>
      <w:spacing w:before="240"/>
      <w:outlineLvl w:val="9"/>
    </w:pPr>
    <w:rPr>
      <w:noProof/>
      <w:sz w:val="24"/>
    </w:rPr>
  </w:style>
  <w:style w:type="paragraph" w:customStyle="1" w:styleId="MiniTOCItem">
    <w:name w:val="MiniTOCItem"/>
    <w:basedOn w:val="ListBullet"/>
    <w:rsid w:val="0035341C"/>
    <w:pPr>
      <w:numPr>
        <w:numId w:val="0"/>
      </w:numPr>
      <w:tabs>
        <w:tab w:val="right" w:leader="dot" w:pos="6521"/>
      </w:tabs>
      <w:spacing w:before="0" w:after="0"/>
    </w:pPr>
  </w:style>
  <w:style w:type="paragraph" w:customStyle="1" w:styleId="TOFTitle">
    <w:name w:val="TOFTitle"/>
    <w:basedOn w:val="TOCTitle"/>
    <w:rsid w:val="0035341C"/>
  </w:style>
  <w:style w:type="paragraph" w:styleId="TableofFigures">
    <w:name w:val="table of figures"/>
    <w:basedOn w:val="Normal"/>
    <w:next w:val="Normal"/>
    <w:semiHidden/>
    <w:rsid w:val="0035341C"/>
    <w:pPr>
      <w:tabs>
        <w:tab w:val="right" w:leader="dot" w:pos="9072"/>
      </w:tabs>
      <w:ind w:left="970" w:hanging="403"/>
    </w:pPr>
    <w:rPr>
      <w:rFonts w:ascii="Times New Roman" w:hAnsi="Times New Roman"/>
      <w:b/>
    </w:rPr>
  </w:style>
  <w:style w:type="paragraph" w:styleId="ListNumber">
    <w:name w:val="List Number"/>
    <w:basedOn w:val="List"/>
    <w:rsid w:val="0035341C"/>
    <w:pPr>
      <w:numPr>
        <w:numId w:val="13"/>
      </w:numPr>
      <w:tabs>
        <w:tab w:val="clear" w:pos="340"/>
      </w:tabs>
    </w:pPr>
  </w:style>
  <w:style w:type="character" w:customStyle="1" w:styleId="WingdingSymbols">
    <w:name w:val="Wingding Symbols"/>
    <w:rsid w:val="0035341C"/>
    <w:rPr>
      <w:rFonts w:ascii="Wingdings" w:hAnsi="Wingdings"/>
    </w:rPr>
  </w:style>
  <w:style w:type="paragraph" w:customStyle="1" w:styleId="TableHeading">
    <w:name w:val="Table Heading"/>
    <w:basedOn w:val="HeadingBase"/>
    <w:rsid w:val="0035341C"/>
    <w:pPr>
      <w:keepLines/>
      <w:pBdr>
        <w:bottom w:val="single" w:sz="6" w:space="1" w:color="918585"/>
      </w:pBdr>
      <w:spacing w:before="240"/>
    </w:pPr>
  </w:style>
  <w:style w:type="character" w:customStyle="1" w:styleId="HotSpot">
    <w:name w:val="HotSpot"/>
    <w:rsid w:val="0035341C"/>
    <w:rPr>
      <w:color w:val="0033CC"/>
      <w:u w:val="none"/>
    </w:rPr>
  </w:style>
  <w:style w:type="paragraph" w:customStyle="1" w:styleId="BodyTextRight">
    <w:name w:val="Body Text Right"/>
    <w:basedOn w:val="BodyText"/>
    <w:rsid w:val="0035341C"/>
    <w:pPr>
      <w:spacing w:before="0" w:after="0"/>
      <w:jc w:val="right"/>
    </w:pPr>
  </w:style>
  <w:style w:type="paragraph" w:styleId="Index3">
    <w:name w:val="index 3"/>
    <w:basedOn w:val="ListNumber2"/>
    <w:next w:val="Normal"/>
    <w:semiHidden/>
    <w:rsid w:val="0035341C"/>
    <w:pPr>
      <w:numPr>
        <w:numId w:val="0"/>
      </w:numPr>
      <w:tabs>
        <w:tab w:val="right" w:leader="dot" w:pos="4176"/>
      </w:tabs>
    </w:pPr>
  </w:style>
  <w:style w:type="paragraph" w:styleId="ListNumber2">
    <w:name w:val="List Number 2"/>
    <w:basedOn w:val="List2"/>
    <w:rsid w:val="0035341C"/>
    <w:pPr>
      <w:numPr>
        <w:numId w:val="8"/>
      </w:numPr>
      <w:tabs>
        <w:tab w:val="clear" w:pos="1060"/>
      </w:tabs>
    </w:pPr>
  </w:style>
  <w:style w:type="paragraph" w:customStyle="1" w:styleId="MarginNote">
    <w:name w:val="Margin Note"/>
    <w:basedOn w:val="BodyText"/>
    <w:rsid w:val="003534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34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341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5341C"/>
    <w:rPr>
      <w:sz w:val="32"/>
    </w:rPr>
  </w:style>
  <w:style w:type="paragraph" w:customStyle="1" w:styleId="HeadingProcedure">
    <w:name w:val="Heading Procedure"/>
    <w:basedOn w:val="HeadingBase"/>
    <w:next w:val="Normal"/>
    <w:rsid w:val="0035341C"/>
    <w:pPr>
      <w:tabs>
        <w:tab w:val="left" w:pos="0"/>
      </w:tabs>
      <w:spacing w:before="120" w:after="60"/>
    </w:pPr>
    <w:rPr>
      <w:i/>
      <w:color w:val="918585"/>
      <w:sz w:val="22"/>
    </w:rPr>
  </w:style>
  <w:style w:type="paragraph" w:customStyle="1" w:styleId="TableBodyText">
    <w:name w:val="Table Body Text"/>
    <w:basedOn w:val="BodyText"/>
    <w:rsid w:val="0035341C"/>
    <w:pPr>
      <w:spacing w:before="60" w:after="60"/>
    </w:pPr>
  </w:style>
  <w:style w:type="paragraph" w:styleId="ListContinue">
    <w:name w:val="List Continue"/>
    <w:basedOn w:val="List"/>
    <w:rsid w:val="0035341C"/>
    <w:pPr>
      <w:ind w:firstLine="0"/>
    </w:pPr>
  </w:style>
  <w:style w:type="paragraph" w:customStyle="1" w:styleId="ListNote">
    <w:name w:val="List Note"/>
    <w:basedOn w:val="List"/>
    <w:rsid w:val="0035341C"/>
    <w:pPr>
      <w:pBdr>
        <w:top w:val="single" w:sz="6" w:space="2" w:color="918585"/>
        <w:bottom w:val="single" w:sz="6" w:space="2" w:color="918585"/>
      </w:pBdr>
      <w:tabs>
        <w:tab w:val="left" w:pos="1021"/>
      </w:tabs>
      <w:ind w:firstLine="0"/>
    </w:pPr>
  </w:style>
  <w:style w:type="paragraph" w:customStyle="1" w:styleId="Warning">
    <w:name w:val="Warning"/>
    <w:basedOn w:val="BodyText"/>
    <w:rsid w:val="0035341C"/>
    <w:pPr>
      <w:shd w:val="clear" w:color="auto" w:fill="D9D9D9"/>
      <w:tabs>
        <w:tab w:val="left" w:pos="992"/>
      </w:tabs>
      <w:ind w:left="119" w:right="119"/>
    </w:pPr>
    <w:rPr>
      <w:sz w:val="20"/>
    </w:rPr>
  </w:style>
  <w:style w:type="paragraph" w:customStyle="1" w:styleId="MarginIcons">
    <w:name w:val="Margin Icons"/>
    <w:basedOn w:val="BodyText"/>
    <w:rsid w:val="003534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341C"/>
    <w:rPr>
      <w:rFonts w:ascii="Courier New" w:hAnsi="Courier New"/>
    </w:rPr>
  </w:style>
  <w:style w:type="paragraph" w:customStyle="1" w:styleId="NoteBullet">
    <w:name w:val="Note Bullet"/>
    <w:basedOn w:val="Note"/>
    <w:rsid w:val="0035341C"/>
    <w:pPr>
      <w:tabs>
        <w:tab w:val="clear" w:pos="680"/>
      </w:tabs>
      <w:spacing w:before="60" w:after="60"/>
    </w:pPr>
  </w:style>
  <w:style w:type="paragraph" w:customStyle="1" w:styleId="SubHeading2">
    <w:name w:val="SubHeading2"/>
    <w:basedOn w:val="HeadingBase"/>
    <w:rsid w:val="0035341C"/>
    <w:pPr>
      <w:spacing w:before="240" w:after="60"/>
    </w:pPr>
    <w:rPr>
      <w:sz w:val="20"/>
    </w:rPr>
  </w:style>
  <w:style w:type="paragraph" w:customStyle="1" w:styleId="SubHeading1">
    <w:name w:val="SubHeading1"/>
    <w:basedOn w:val="HeadingBase"/>
    <w:rsid w:val="0035341C"/>
    <w:pPr>
      <w:spacing w:before="240" w:after="60"/>
    </w:pPr>
    <w:rPr>
      <w:color w:val="918585"/>
      <w:sz w:val="22"/>
    </w:rPr>
  </w:style>
  <w:style w:type="paragraph" w:customStyle="1" w:styleId="SideHeading">
    <w:name w:val="Side Heading"/>
    <w:basedOn w:val="HeadingBase"/>
    <w:rsid w:val="003534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341C"/>
    <w:pPr>
      <w:numPr>
        <w:numId w:val="9"/>
      </w:numPr>
    </w:pPr>
  </w:style>
  <w:style w:type="paragraph" w:styleId="PlainText">
    <w:name w:val="Plain Text"/>
    <w:basedOn w:val="Normal"/>
    <w:link w:val="PlainTextChar"/>
    <w:rsid w:val="0035341C"/>
    <w:rPr>
      <w:sz w:val="20"/>
    </w:rPr>
  </w:style>
  <w:style w:type="character" w:customStyle="1" w:styleId="PlainTextChar">
    <w:name w:val="Plain Text Char"/>
    <w:basedOn w:val="DefaultParagraphFont"/>
    <w:link w:val="PlainText"/>
    <w:rsid w:val="0035341C"/>
    <w:rPr>
      <w:rFonts w:ascii="Courier New" w:eastAsia="Times New Roman" w:hAnsi="Courier New" w:cs="Times New Roman"/>
      <w:sz w:val="20"/>
      <w:szCs w:val="20"/>
      <w:lang w:eastAsia="en-US"/>
    </w:rPr>
  </w:style>
  <w:style w:type="character" w:customStyle="1" w:styleId="MenuOption">
    <w:name w:val="Menu Option"/>
    <w:basedOn w:val="DefaultParagraphFont"/>
    <w:rsid w:val="0035341C"/>
    <w:rPr>
      <w:b/>
      <w:smallCaps/>
    </w:rPr>
  </w:style>
  <w:style w:type="paragraph" w:customStyle="1" w:styleId="TableListNumber">
    <w:name w:val="Table List Number"/>
    <w:basedOn w:val="ListNumber"/>
    <w:rsid w:val="0035341C"/>
    <w:pPr>
      <w:numPr>
        <w:numId w:val="0"/>
      </w:numPr>
    </w:pPr>
  </w:style>
  <w:style w:type="paragraph" w:styleId="TOC4">
    <w:name w:val="toc 4"/>
    <w:basedOn w:val="TOCBase"/>
    <w:next w:val="Normal"/>
    <w:semiHidden/>
    <w:rsid w:val="0035341C"/>
    <w:pPr>
      <w:tabs>
        <w:tab w:val="right" w:leader="dot" w:pos="9071"/>
      </w:tabs>
      <w:ind w:left="1701"/>
    </w:pPr>
  </w:style>
  <w:style w:type="paragraph" w:customStyle="1" w:styleId="ListAlpha">
    <w:name w:val="List Alpha"/>
    <w:basedOn w:val="List"/>
    <w:rsid w:val="0035341C"/>
    <w:pPr>
      <w:numPr>
        <w:numId w:val="7"/>
      </w:numPr>
    </w:pPr>
  </w:style>
  <w:style w:type="paragraph" w:customStyle="1" w:styleId="ListAlpha2">
    <w:name w:val="List Alpha 2"/>
    <w:basedOn w:val="List2"/>
    <w:rsid w:val="0035341C"/>
    <w:pPr>
      <w:numPr>
        <w:numId w:val="6"/>
      </w:numPr>
    </w:pPr>
  </w:style>
  <w:style w:type="paragraph" w:styleId="List2">
    <w:name w:val="List 2"/>
    <w:basedOn w:val="BodyText"/>
    <w:rsid w:val="0035341C"/>
    <w:pPr>
      <w:tabs>
        <w:tab w:val="left" w:pos="680"/>
      </w:tabs>
      <w:spacing w:before="60" w:after="60"/>
      <w:ind w:left="680" w:hanging="340"/>
    </w:pPr>
  </w:style>
  <w:style w:type="paragraph" w:styleId="List3">
    <w:name w:val="List 3"/>
    <w:basedOn w:val="BodyText"/>
    <w:rsid w:val="0035341C"/>
    <w:pPr>
      <w:tabs>
        <w:tab w:val="left" w:pos="1021"/>
      </w:tabs>
      <w:spacing w:before="60" w:after="60"/>
      <w:ind w:left="1020" w:hanging="340"/>
    </w:pPr>
  </w:style>
  <w:style w:type="paragraph" w:styleId="List4">
    <w:name w:val="List 4"/>
    <w:basedOn w:val="BodyText"/>
    <w:rsid w:val="0035341C"/>
    <w:pPr>
      <w:tabs>
        <w:tab w:val="left" w:pos="1361"/>
      </w:tabs>
      <w:spacing w:before="60" w:after="60"/>
      <w:ind w:left="1361" w:hanging="340"/>
    </w:pPr>
  </w:style>
  <w:style w:type="paragraph" w:styleId="List5">
    <w:name w:val="List 5"/>
    <w:basedOn w:val="BodyText"/>
    <w:rsid w:val="0035341C"/>
    <w:pPr>
      <w:tabs>
        <w:tab w:val="left" w:pos="1701"/>
      </w:tabs>
      <w:spacing w:before="60" w:after="60"/>
      <w:ind w:left="1701" w:hanging="340"/>
    </w:pPr>
  </w:style>
  <w:style w:type="paragraph" w:styleId="ListBullet3">
    <w:name w:val="List Bullet 3"/>
    <w:basedOn w:val="List3"/>
    <w:rsid w:val="0035341C"/>
    <w:pPr>
      <w:numPr>
        <w:numId w:val="12"/>
      </w:numPr>
      <w:tabs>
        <w:tab w:val="clear" w:pos="1021"/>
      </w:tabs>
      <w:ind w:left="1037" w:hanging="357"/>
    </w:pPr>
  </w:style>
  <w:style w:type="paragraph" w:styleId="ListBullet4">
    <w:name w:val="List Bullet 4"/>
    <w:basedOn w:val="List4"/>
    <w:rsid w:val="0035341C"/>
    <w:pPr>
      <w:numPr>
        <w:numId w:val="1"/>
      </w:numPr>
      <w:tabs>
        <w:tab w:val="clear" w:pos="1361"/>
      </w:tabs>
    </w:pPr>
  </w:style>
  <w:style w:type="paragraph" w:styleId="ListBullet5">
    <w:name w:val="List Bullet 5"/>
    <w:basedOn w:val="List5"/>
    <w:rsid w:val="0035341C"/>
    <w:pPr>
      <w:numPr>
        <w:numId w:val="2"/>
      </w:numPr>
    </w:pPr>
  </w:style>
  <w:style w:type="paragraph" w:styleId="ListContinue2">
    <w:name w:val="List Continue 2"/>
    <w:basedOn w:val="List2"/>
    <w:rsid w:val="0035341C"/>
    <w:pPr>
      <w:ind w:firstLine="0"/>
    </w:pPr>
  </w:style>
  <w:style w:type="paragraph" w:styleId="ListContinue3">
    <w:name w:val="List Continue 3"/>
    <w:basedOn w:val="List3"/>
    <w:rsid w:val="0035341C"/>
    <w:pPr>
      <w:ind w:left="1021" w:firstLine="0"/>
    </w:pPr>
  </w:style>
  <w:style w:type="paragraph" w:styleId="ListContinue4">
    <w:name w:val="List Continue 4"/>
    <w:basedOn w:val="List4"/>
    <w:rsid w:val="0035341C"/>
    <w:pPr>
      <w:ind w:firstLine="0"/>
    </w:pPr>
  </w:style>
  <w:style w:type="paragraph" w:styleId="ListContinue5">
    <w:name w:val="List Continue 5"/>
    <w:basedOn w:val="List5"/>
    <w:rsid w:val="0035341C"/>
    <w:pPr>
      <w:ind w:firstLine="0"/>
    </w:pPr>
  </w:style>
  <w:style w:type="paragraph" w:styleId="ListNumber3">
    <w:name w:val="List Number 3"/>
    <w:basedOn w:val="List3"/>
    <w:rsid w:val="0035341C"/>
    <w:pPr>
      <w:numPr>
        <w:numId w:val="3"/>
      </w:numPr>
    </w:pPr>
  </w:style>
  <w:style w:type="paragraph" w:styleId="ListNumber4">
    <w:name w:val="List Number 4"/>
    <w:basedOn w:val="List4"/>
    <w:rsid w:val="0035341C"/>
    <w:pPr>
      <w:numPr>
        <w:numId w:val="4"/>
      </w:numPr>
    </w:pPr>
  </w:style>
  <w:style w:type="paragraph" w:styleId="ListNumber5">
    <w:name w:val="List Number 5"/>
    <w:basedOn w:val="List5"/>
    <w:rsid w:val="0035341C"/>
    <w:pPr>
      <w:numPr>
        <w:numId w:val="5"/>
      </w:numPr>
    </w:pPr>
  </w:style>
  <w:style w:type="paragraph" w:styleId="BlockText">
    <w:name w:val="Block Text"/>
    <w:basedOn w:val="Normal"/>
    <w:rsid w:val="0035341C"/>
    <w:pPr>
      <w:spacing w:after="120"/>
      <w:ind w:left="1440" w:right="1440"/>
    </w:pPr>
  </w:style>
  <w:style w:type="character" w:customStyle="1" w:styleId="Subscript">
    <w:name w:val="Subscript"/>
    <w:basedOn w:val="DefaultParagraphFont"/>
    <w:rsid w:val="0035341C"/>
    <w:rPr>
      <w:sz w:val="16"/>
      <w:vertAlign w:val="subscript"/>
    </w:rPr>
  </w:style>
  <w:style w:type="character" w:customStyle="1" w:styleId="Superscript">
    <w:name w:val="Superscript"/>
    <w:basedOn w:val="DefaultParagraphFont"/>
    <w:rsid w:val="0035341C"/>
    <w:rPr>
      <w:sz w:val="16"/>
      <w:vertAlign w:val="superscript"/>
    </w:rPr>
  </w:style>
  <w:style w:type="character" w:customStyle="1" w:styleId="Symbols">
    <w:name w:val="Symbols"/>
    <w:basedOn w:val="DefaultParagraphFont"/>
    <w:rsid w:val="0035341C"/>
    <w:rPr>
      <w:rFonts w:ascii="Symbol" w:hAnsi="Symbol"/>
    </w:rPr>
  </w:style>
  <w:style w:type="character" w:customStyle="1" w:styleId="MenuOptions">
    <w:name w:val="Menu Options"/>
    <w:basedOn w:val="DefaultParagraphFont"/>
    <w:rsid w:val="0035341C"/>
    <w:rPr>
      <w:rFonts w:ascii="Arial Narrow" w:hAnsi="Arial Narrow"/>
      <w:smallCaps/>
    </w:rPr>
  </w:style>
  <w:style w:type="character" w:customStyle="1" w:styleId="Buttons">
    <w:name w:val="Buttons"/>
    <w:basedOn w:val="DefaultParagraphFont"/>
    <w:rsid w:val="0035341C"/>
    <w:rPr>
      <w:b/>
    </w:rPr>
  </w:style>
  <w:style w:type="character" w:customStyle="1" w:styleId="Underlined">
    <w:name w:val="Underlined"/>
    <w:basedOn w:val="DefaultParagraphFont"/>
    <w:rsid w:val="0035341C"/>
    <w:rPr>
      <w:u w:val="single"/>
    </w:rPr>
  </w:style>
  <w:style w:type="paragraph" w:customStyle="1" w:styleId="TableBodyTextRight">
    <w:name w:val="Table Body Text Right"/>
    <w:basedOn w:val="TableBodyText"/>
    <w:rsid w:val="0035341C"/>
    <w:pPr>
      <w:widowControl w:val="0"/>
      <w:autoSpaceDE w:val="0"/>
      <w:autoSpaceDN w:val="0"/>
      <w:adjustRightInd w:val="0"/>
      <w:jc w:val="right"/>
    </w:pPr>
    <w:rPr>
      <w:rFonts w:cs="Arial"/>
      <w:szCs w:val="18"/>
    </w:rPr>
  </w:style>
  <w:style w:type="paragraph" w:customStyle="1" w:styleId="CopyrightText">
    <w:name w:val="Copyright Text"/>
    <w:basedOn w:val="BodyText"/>
    <w:rsid w:val="0035341C"/>
    <w:rPr>
      <w:sz w:val="18"/>
    </w:rPr>
  </w:style>
  <w:style w:type="paragraph" w:customStyle="1" w:styleId="BodySmallRight">
    <w:name w:val="Body Small Right"/>
    <w:basedOn w:val="BodyTextRight"/>
    <w:rsid w:val="0035341C"/>
    <w:rPr>
      <w:sz w:val="18"/>
      <w:szCs w:val="18"/>
    </w:rPr>
  </w:style>
  <w:style w:type="paragraph" w:customStyle="1" w:styleId="MarginEdition">
    <w:name w:val="Margin Edition"/>
    <w:basedOn w:val="MarginNote"/>
    <w:rsid w:val="0035341C"/>
    <w:pPr>
      <w:spacing w:before="0" w:after="0"/>
    </w:pPr>
    <w:rPr>
      <w:rFonts w:ascii="Times New Roman" w:hAnsi="Times New Roman"/>
      <w:color w:val="999999"/>
    </w:rPr>
  </w:style>
  <w:style w:type="paragraph" w:customStyle="1" w:styleId="Spacer">
    <w:name w:val="Spacer"/>
    <w:basedOn w:val="Normal"/>
    <w:rsid w:val="0035341C"/>
    <w:rPr>
      <w:sz w:val="2"/>
      <w:szCs w:val="2"/>
    </w:rPr>
  </w:style>
  <w:style w:type="character" w:customStyle="1" w:styleId="Small">
    <w:name w:val="Small"/>
    <w:basedOn w:val="DefaultParagraphFont"/>
    <w:rsid w:val="0035341C"/>
    <w:rPr>
      <w:sz w:val="16"/>
    </w:rPr>
  </w:style>
  <w:style w:type="paragraph" w:customStyle="1" w:styleId="WideTable">
    <w:name w:val="Wide Table"/>
    <w:basedOn w:val="Normal"/>
    <w:rsid w:val="0035341C"/>
    <w:pPr>
      <w:ind w:left="-1418"/>
    </w:pPr>
    <w:rPr>
      <w:sz w:val="2"/>
      <w:szCs w:val="2"/>
    </w:rPr>
  </w:style>
  <w:style w:type="character" w:styleId="PageNumber">
    <w:name w:val="page number"/>
    <w:basedOn w:val="DefaultParagraphFont"/>
    <w:rsid w:val="0035341C"/>
  </w:style>
  <w:style w:type="paragraph" w:styleId="Quote">
    <w:name w:val="Quote"/>
    <w:basedOn w:val="Heading1"/>
    <w:link w:val="QuoteChar"/>
    <w:qFormat/>
    <w:rsid w:val="0035341C"/>
    <w:rPr>
      <w:b w:val="0"/>
      <w:sz w:val="72"/>
      <w:szCs w:val="72"/>
      <w:lang w:val="en-NZ"/>
    </w:rPr>
  </w:style>
  <w:style w:type="character" w:customStyle="1" w:styleId="QuoteChar">
    <w:name w:val="Quote Char"/>
    <w:basedOn w:val="DefaultParagraphFont"/>
    <w:link w:val="Quote"/>
    <w:rsid w:val="003534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341C"/>
    <w:pPr>
      <w:pageBreakBefore/>
    </w:pPr>
  </w:style>
  <w:style w:type="paragraph" w:customStyle="1" w:styleId="Border">
    <w:name w:val="Border"/>
    <w:basedOn w:val="Normal"/>
    <w:qFormat/>
    <w:rsid w:val="003534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341C"/>
    <w:rPr>
      <w:b/>
      <w:bCs/>
      <w:i/>
      <w:iCs/>
      <w:color w:val="auto"/>
    </w:rPr>
  </w:style>
  <w:style w:type="paragraph" w:styleId="IntenseQuote">
    <w:name w:val="Intense Quote"/>
    <w:basedOn w:val="Normal"/>
    <w:next w:val="Normal"/>
    <w:link w:val="IntenseQuoteChar"/>
    <w:uiPriority w:val="30"/>
    <w:qFormat/>
    <w:rsid w:val="003534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341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5341C"/>
    <w:rPr>
      <w:smallCaps/>
      <w:color w:val="auto"/>
      <w:u w:val="single"/>
    </w:rPr>
  </w:style>
  <w:style w:type="character" w:styleId="IntenseReference">
    <w:name w:val="Intense Reference"/>
    <w:basedOn w:val="DefaultParagraphFont"/>
    <w:uiPriority w:val="32"/>
    <w:qFormat/>
    <w:rsid w:val="0035341C"/>
    <w:rPr>
      <w:b/>
      <w:bCs/>
      <w:smallCaps/>
      <w:color w:val="auto"/>
      <w:spacing w:val="5"/>
      <w:u w:val="single"/>
    </w:rPr>
  </w:style>
  <w:style w:type="paragraph" w:customStyle="1" w:styleId="2ColumnHeading">
    <w:name w:val="2Column Heading"/>
    <w:basedOn w:val="BodyText"/>
    <w:qFormat/>
    <w:rsid w:val="0035341C"/>
    <w:pPr>
      <w:spacing w:after="60"/>
      <w:ind w:left="-2268"/>
    </w:pPr>
    <w:rPr>
      <w:b/>
    </w:rPr>
  </w:style>
  <w:style w:type="paragraph" w:customStyle="1" w:styleId="Heading1TOC">
    <w:name w:val="Heading1 TOC"/>
    <w:basedOn w:val="Normal"/>
    <w:qFormat/>
    <w:rsid w:val="0035341C"/>
    <w:pPr>
      <w:spacing w:before="240" w:after="120"/>
    </w:pPr>
    <w:rPr>
      <w:rFonts w:ascii="Times New Roman" w:hAnsi="Times New Roman"/>
      <w:b/>
      <w:sz w:val="32"/>
    </w:rPr>
  </w:style>
  <w:style w:type="paragraph" w:customStyle="1" w:styleId="Heading2TOC">
    <w:name w:val="Heading2 TOC"/>
    <w:basedOn w:val="Normal"/>
    <w:qFormat/>
    <w:rsid w:val="0035341C"/>
    <w:pPr>
      <w:spacing w:before="240" w:after="60"/>
    </w:pPr>
    <w:rPr>
      <w:rFonts w:ascii="Times New Roman" w:hAnsi="Times New Roman"/>
      <w:b/>
      <w:sz w:val="28"/>
    </w:rPr>
  </w:style>
  <w:style w:type="character" w:customStyle="1" w:styleId="Underline">
    <w:name w:val="Underline"/>
    <w:basedOn w:val="DefaultParagraphFont"/>
    <w:qFormat/>
    <w:rsid w:val="0035341C"/>
    <w:rPr>
      <w:u w:val="single"/>
    </w:rPr>
  </w:style>
  <w:style w:type="character" w:customStyle="1" w:styleId="BoldandItalics">
    <w:name w:val="Bold and Italics"/>
    <w:qFormat/>
    <w:rsid w:val="0035341C"/>
    <w:rPr>
      <w:b/>
      <w:i/>
      <w:u w:val="none"/>
    </w:rPr>
  </w:style>
  <w:style w:type="paragraph" w:styleId="BalloonText">
    <w:name w:val="Balloon Text"/>
    <w:basedOn w:val="Normal"/>
    <w:link w:val="BalloonTextChar"/>
    <w:rsid w:val="0035341C"/>
    <w:rPr>
      <w:rFonts w:ascii="Tahoma" w:hAnsi="Tahoma" w:cs="Tahoma"/>
      <w:sz w:val="16"/>
      <w:szCs w:val="16"/>
    </w:rPr>
  </w:style>
  <w:style w:type="character" w:customStyle="1" w:styleId="BalloonTextChar">
    <w:name w:val="Balloon Text Char"/>
    <w:basedOn w:val="DefaultParagraphFont"/>
    <w:link w:val="BalloonText"/>
    <w:rsid w:val="0035341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5341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5341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5341C"/>
    <w:rPr>
      <w:b/>
      <w:color w:val="660033"/>
      <w:spacing w:val="0"/>
    </w:rPr>
  </w:style>
  <w:style w:type="paragraph" w:customStyle="1" w:styleId="Nameditemlist">
    <w:name w:val="Named item list"/>
    <w:basedOn w:val="BodyText"/>
    <w:qFormat/>
    <w:rsid w:val="0035341C"/>
    <w:pPr>
      <w:tabs>
        <w:tab w:val="left" w:pos="2835"/>
      </w:tabs>
      <w:ind w:left="2835" w:hanging="2835"/>
    </w:pPr>
  </w:style>
  <w:style w:type="paragraph" w:customStyle="1" w:styleId="BodyTextnopadding">
    <w:name w:val="Body Text no padding"/>
    <w:basedOn w:val="BodyText"/>
    <w:qFormat/>
    <w:rsid w:val="0035341C"/>
    <w:pPr>
      <w:spacing w:before="0" w:after="0"/>
    </w:pPr>
  </w:style>
  <w:style w:type="paragraph" w:customStyle="1" w:styleId="BodyTextBold">
    <w:name w:val="Body Text Bold"/>
    <w:basedOn w:val="BodyText"/>
    <w:qFormat/>
    <w:rsid w:val="0035341C"/>
    <w:rPr>
      <w:b/>
    </w:rPr>
  </w:style>
  <w:style w:type="character" w:styleId="Hyperlink">
    <w:name w:val="Hyperlink"/>
    <w:basedOn w:val="DefaultParagraphFont"/>
    <w:uiPriority w:val="99"/>
    <w:unhideWhenUsed/>
    <w:rsid w:val="00B7217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589</Words>
  <Characters>3858</Characters>
  <Application>Microsoft Office Word</Application>
  <DocSecurity>0</DocSecurity>
  <Lines>175</Lines>
  <Paragraphs>85</Paragraphs>
  <ScaleCrop>false</ScaleCrop>
  <Company>Author-it Software Corporation Ltd.</Company>
  <LinksUpToDate>false</LinksUpToDate>
  <CharactersWithSpaces>4362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TLIX0018X Monitor compliance in digital supply chains</dc:title>
  <dc:subject>Approved</dc:subject>
  <dc:creator>Industry Skills Australia</dc:creator>
  <cp:keywords>Release: 1</cp:keywords>
  <dc:description>Review Date: 12 April 2008</dc:description>
  <cp:lastModifiedBy>HSD_TPCMSd.prod</cp:lastModifiedBy>
  <cp:revision>3</cp:revision>
  <dcterms:created xsi:type="dcterms:W3CDTF">2024-07-12T07:20:00Z</dcterms:created>
  <dcterms:modified xsi:type="dcterms:W3CDTF">2024-07-12T07:20:00Z</dcterms:modified>
</cp:coreProperties>
</file>