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205" w:rsidP="00C01205">
      <w:pPr>
        <w:pStyle w:val="Title"/>
      </w:pPr>
      <w:r>
        <w:fldChar w:fldCharType="begin"/>
      </w:r>
      <w:r>
        <w:instrText xml:space="preserve"> TITLE   \* MERGEFORMAT </w:instrText>
      </w:r>
      <w:r>
        <w:fldChar w:fldCharType="separate"/>
      </w:r>
      <w:r>
        <w:t>TLIX0018X Monitor compliance in digital supply chains</w:t>
      </w:r>
      <w:r>
        <w:fldChar w:fldCharType="end"/>
      </w:r>
    </w:p>
    <w:p w:rsidR="00C01205" w:rsidP="00C01205">
      <w:pPr>
        <w:pStyle w:val="Version"/>
        <w:sectPr w:rsidSect="008D6A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AF4" w:rsidP="008D6AF4">
      <w:pPr>
        <w:pStyle w:val="SuperHeading"/>
      </w:pPr>
      <w:r w:rsidRPr="008D6AF4">
        <w:t>TLIX0018X Monitor compliance in digital supply chains</w:t>
      </w:r>
    </w:p>
    <w:p w:rsidR="00000000" w:rsidRPr="008D6AF4" w:rsidP="008D6AF4">
      <w:pPr>
        <w:pStyle w:val="Heading1"/>
      </w:pPr>
      <w:bookmarkStart w:id="1" w:name="O_1066424"/>
      <w:bookmarkEnd w:id="1"/>
      <w:r w:rsidRPr="008D6AF4">
        <w:t>Modification History</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Release 1.</w:t>
            </w:r>
            <w:r w:rsidRPr="008D6AF4">
              <w:t xml:space="preserve"> This is the first release of this unit of competency in the TLI Transport and Logistics Training Package.</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2" w:name="O_1066425"/>
      <w:bookmarkEnd w:id="2"/>
      <w:r w:rsidRPr="008D6AF4">
        <w:t>Application</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This unit of competency describes the skills and knowledge required</w:t>
            </w:r>
            <w:r w:rsidRPr="008D6AF4">
              <w:t xml:space="preserve"> to manage compliance in digital supply chains. It includes identifying digital supply chain compliance requirements, maintaining digital supply chain compliance information, monitoring digital supply chain compliance and reviewing and reporting on digital</w:t>
            </w:r>
            <w:r w:rsidRPr="008D6AF4">
              <w:t xml:space="preserve"> supply chain compliance.</w:t>
            </w:r>
          </w:p>
          <w:p w:rsidR="00000000" w:rsidRPr="008D6AF4" w:rsidP="008D6AF4">
            <w:pPr>
              <w:pStyle w:val="BodyText"/>
            </w:pPr>
            <w:r w:rsidRPr="008D6AF4">
              <w:t>Compliance refers to the adherence of established guidelines and all legal requirements including those in relation to sourcing, manufacturing and delivering products in a digital supply chain. Tracking and complying with local, n</w:t>
            </w:r>
            <w:r w:rsidRPr="008D6AF4">
              <w:t>ational and international product and supply chain laws and industry standards is critical to the maintenance of confidence in digital supply chains.</w:t>
            </w:r>
          </w:p>
          <w:p w:rsidR="00000000" w:rsidRPr="008D6AF4" w:rsidP="008D6AF4">
            <w:pPr>
              <w:pStyle w:val="BodyText"/>
            </w:pPr>
            <w:r w:rsidRPr="008D6AF4">
              <w:t>The unit is applicable to those with management or team leadership responsibilities within a digital suppl</w:t>
            </w:r>
            <w:r w:rsidRPr="008D6AF4">
              <w:t>y chain.</w:t>
            </w:r>
          </w:p>
          <w:p w:rsidR="00000000" w:rsidRPr="008D6AF4" w:rsidP="008D6AF4">
            <w:pPr>
              <w:pStyle w:val="BodyText"/>
            </w:pPr>
            <w:r w:rsidRPr="008D6AF4">
              <w:t>No licensing, legislative or certification requirements apply to this unit at the time of publication.</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3" w:name="O_1066426"/>
      <w:bookmarkEnd w:id="3"/>
      <w:r w:rsidRPr="008D6AF4">
        <w:t>Pre-requisite Unit</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Not applicable</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4" w:name="O_1066427"/>
      <w:bookmarkEnd w:id="4"/>
      <w:r w:rsidRPr="008D6AF4">
        <w:t>Competency Field</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X - Logistics</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5" w:name="O_1066428"/>
      <w:bookmarkEnd w:id="5"/>
      <w:r w:rsidRPr="008D6AF4">
        <w:t>Unit Sector</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Cross sector</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6" w:name="O_1066429"/>
      <w:bookmarkEnd w:id="6"/>
      <w:r w:rsidRPr="008D6AF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D6AF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PERFORMANCE CRITERIA</w:t>
            </w:r>
          </w:p>
        </w:tc>
      </w:tr>
      <w:tr w:rsidTr="008D6AF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Performance criteria describe the performance needed to demonstrate achievement of the element.</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 xml:space="preserve">Identify compliance </w:t>
            </w:r>
            <w:r w:rsidRPr="008D6AF4">
              <w:rPr>
                <w:rStyle w:val="SpecialBold"/>
              </w:rPr>
              <w:t>requirements</w:t>
            </w: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 xml:space="preserve">Compliance strategy, including Key Performance </w:t>
            </w:r>
            <w:r w:rsidRPr="008D6AF4">
              <w:t>Indicators (KPIs), for the digital supply chain is confirmed</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Legislation, codes of practice and industry standards applicable to digital supply chains are identified</w:t>
            </w:r>
            <w:r w:rsidRPr="008D6AF4">
              <w:t xml:space="preserve"> </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Compliance policies and procedures, including corrective action protocols and processes, are determined</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Responsibility and level of authority for digital supply chain compliance is verified</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Maintain compliance information</w:t>
            </w:r>
            <w:r w:rsidRPr="008D6AF4">
              <w:t xml:space="preserve"> </w:t>
            </w:r>
            <w:r w:rsidRPr="008D6AF4">
              <w:rPr>
                <w:rStyle w:val="SpecialBold"/>
              </w:rPr>
              <w:t xml:space="preserve">  </w:t>
            </w: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 xml:space="preserve">Compliance data is collected and maintained, in accordance with compliance procedures, using approved systems and tools </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Supplier</w:t>
            </w:r>
            <w:r>
              <w:t>’</w:t>
            </w:r>
            <w:r w:rsidRPr="008D6AF4">
              <w:t>s financial viability, contract compliance and third party affiliations are validated, in accordance with compliance pr</w:t>
            </w:r>
            <w:r w:rsidRPr="008D6AF4">
              <w:t>ocedures</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Supplier certificates, disclosure statements and other supporting documentation are maintained, in accordance with compliance procedures and legislative obligations</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 xml:space="preserve">2.4 </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 xml:space="preserve">Compliance information is communicated to digital supply chain stakeholders </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 xml:space="preserve">Monitor compliance </w:t>
            </w: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Compliance gaps in the digital supply chain are monitored, using approved methods and tools, to mitigate risks and identify areas of improvement</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Quality system reports are monitored and non-compliance issues are tracked, in accordance with compliance procedures</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Cyber security and data storage risks are monitored, in accordance with compliance procedures, to ensure digital supply chain integr</w:t>
            </w:r>
            <w:r w:rsidRPr="008D6AF4">
              <w:t xml:space="preserve">ity </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 xml:space="preserve">Legislative and regulatory compliance is monitored throughout the digital supply chain, in accordance with compliance procedures  </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Non-compliance act</w:t>
            </w:r>
            <w:r w:rsidRPr="008D6AF4">
              <w:t xml:space="preserve">ions and breaches, including whistle blower reports, are documented and corrective actions are monitored, in accordance with compliance procedures </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Review and report on compliance</w:t>
            </w: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Compliance strategy and KPIs are reviewed, in consultation with digit</w:t>
            </w:r>
            <w:r w:rsidRPr="008D6AF4">
              <w:t xml:space="preserve">al supply chain stakeholders, to identify improvements  </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 xml:space="preserve">Digital supply chain compliance report, including recommendations, is prepared and presented to approved stakeholders </w:t>
            </w:r>
          </w:p>
        </w:tc>
      </w:tr>
      <w:tr w:rsidTr="008D6AF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D6AF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Continuous improvement actions to support digital supply chain compliance are documented</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7" w:name="O_1066430"/>
      <w:bookmarkEnd w:id="7"/>
      <w:r w:rsidRPr="008D6AF4">
        <w:t>Foundation Skills</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Foundation skills essential to performance are explicit in the performance criteria of this unit of competency.</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8" w:name="O_1066431"/>
      <w:bookmarkEnd w:id="8"/>
      <w:r w:rsidRPr="008D6AF4">
        <w:t>Range of Conditions</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Range is restricted to essential operating conditions and any other variables essential to the work environment.</w:t>
            </w:r>
          </w:p>
          <w:p w:rsidR="00000000" w:rsidRPr="008D6AF4" w:rsidP="008D6AF4">
            <w:pPr>
              <w:pStyle w:val="BodyText"/>
            </w:pPr>
            <w:r w:rsidRPr="008D6AF4">
              <w:t>Non-essential conditions may be found in the Companion Volume Implementation Guide.</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9" w:name="O_1066432"/>
      <w:bookmarkEnd w:id="9"/>
      <w:r w:rsidRPr="008D6AF4">
        <w:t xml:space="preserve">Unit Mapping </w:t>
      </w:r>
      <w:r w:rsidRPr="008D6AF4">
        <w:t>Information</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This is a new unit. There is no equivalent unit.</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10" w:name="O_1066439"/>
      <w:bookmarkEnd w:id="10"/>
      <w:r w:rsidRPr="008D6AF4">
        <w:t>Links</w:t>
      </w:r>
    </w:p>
    <w:p w:rsidR="00000000" w:rsidRPr="008D6AF4" w:rsidP="00C01205">
      <w:pPr>
        <w:pStyle w:val="BodyText"/>
      </w:pPr>
      <w:r w:rsidRPr="008D6AF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E03C8">
        <w:rPr>
          <w:rStyle w:val="Hyperlink"/>
        </w:rPr>
        <w:t>https://vetnet.gov.au/Pages/TrainingDocs.aspx?q=df441c6e-213d-43e3-874c-0b3f7036d851</w:t>
      </w:r>
      <w:r>
        <w:fldChar w:fldCharType="end"/>
      </w:r>
    </w:p>
    <w:p w:rsidR="00000000" w:rsidRPr="008D6AF4" w:rsidP="00C01205">
      <w:pPr>
        <w:pStyle w:val="BodyText"/>
        <w:sectPr w:rsidSect="008D6AF4">
          <w:headerReference w:type="default" r:id="rId10"/>
          <w:footerReference w:type="default" r:id="rId11"/>
          <w:pgSz w:w="11908" w:h="16833"/>
          <w:pgMar w:top="1702" w:right="1418" w:bottom="1702" w:left="1418" w:header="992" w:footer="992" w:gutter="0"/>
          <w:cols w:space="720"/>
          <w:noEndnote/>
          <w:docGrid w:linePitch="299"/>
        </w:sectPr>
      </w:pPr>
    </w:p>
    <w:p w:rsidR="00000000" w:rsidRPr="008D6AF4" w:rsidP="008D6AF4">
      <w:pPr>
        <w:pStyle w:val="SuperHeading"/>
      </w:pPr>
      <w:r w:rsidRPr="008D6AF4">
        <w:t>Assessment Requirements for TLIX0018X Monitor compliance in digital supply chains</w:t>
      </w:r>
    </w:p>
    <w:p w:rsidR="00000000" w:rsidRPr="008D6AF4" w:rsidP="008D6AF4">
      <w:pPr>
        <w:pStyle w:val="Heading1"/>
      </w:pPr>
      <w:bookmarkStart w:id="11" w:name="O_1066434"/>
      <w:bookmarkEnd w:id="11"/>
      <w:r w:rsidRPr="008D6AF4">
        <w:t>Modification History</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rPr>
                <w:rStyle w:val="SpecialBold"/>
              </w:rPr>
              <w:t xml:space="preserve">Release 1. </w:t>
            </w:r>
            <w:r w:rsidRPr="008D6AF4">
              <w:t xml:space="preserve">This is the first release of this unit of competency in the TLI Transport and </w:t>
            </w:r>
            <w:r w:rsidRPr="008D6AF4">
              <w:t>Logistics Training Package.</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12" w:name="O_1066435"/>
      <w:bookmarkEnd w:id="12"/>
      <w:r w:rsidRPr="008D6AF4">
        <w:t>Performance Evidence</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Evidence required to demonstrate competence in this unit must be relevant to and satisfy all the requirements of the elements and performance criteria on at least one occasion and includ</w:t>
            </w:r>
            <w:r w:rsidRPr="008D6AF4">
              <w:t>es</w:t>
            </w:r>
          </w:p>
        </w:tc>
      </w:tr>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ListBullet"/>
            </w:pPr>
            <w:r w:rsidRPr="008D6AF4">
              <w:t xml:space="preserve">collecting, maintaining and monitoring compliance data  </w:t>
            </w:r>
          </w:p>
          <w:p w:rsidR="00000000" w:rsidRPr="008D6AF4" w:rsidP="008D6AF4">
            <w:pPr>
              <w:pStyle w:val="ListBullet"/>
            </w:pPr>
            <w:r w:rsidRPr="008D6AF4">
              <w:t xml:space="preserve">communicating compliance information and updates </w:t>
            </w:r>
          </w:p>
          <w:p w:rsidR="00000000" w:rsidRPr="008D6AF4" w:rsidP="008D6AF4">
            <w:pPr>
              <w:pStyle w:val="ListBullet"/>
            </w:pPr>
            <w:r w:rsidRPr="008D6AF4">
              <w:t>confirming digital supply chain compliance strategy and Key Performance Indicators (KPIs)</w:t>
            </w:r>
          </w:p>
          <w:p w:rsidR="00000000" w:rsidRPr="008D6AF4" w:rsidP="008D6AF4">
            <w:pPr>
              <w:pStyle w:val="ListBullet"/>
            </w:pPr>
            <w:r w:rsidRPr="008D6AF4">
              <w:t xml:space="preserve">determining compliance risks </w:t>
            </w:r>
          </w:p>
          <w:p w:rsidR="00000000" w:rsidRPr="008D6AF4" w:rsidP="008D6AF4">
            <w:pPr>
              <w:pStyle w:val="ListBullet"/>
            </w:pPr>
            <w:r w:rsidRPr="008D6AF4">
              <w:t xml:space="preserve">identifying and documenting legislation, codes of practice and industry standards </w:t>
            </w:r>
          </w:p>
          <w:p w:rsidR="00000000" w:rsidRPr="008D6AF4" w:rsidP="008D6AF4">
            <w:pPr>
              <w:pStyle w:val="ListBullet"/>
            </w:pPr>
            <w:r w:rsidRPr="008D6AF4">
              <w:t>implementing digital supply chain compliance policies, procedures and processes</w:t>
            </w:r>
          </w:p>
          <w:p w:rsidR="00000000" w:rsidRPr="008D6AF4" w:rsidP="008D6AF4">
            <w:pPr>
              <w:pStyle w:val="ListBullet"/>
            </w:pPr>
            <w:r w:rsidRPr="008D6AF4">
              <w:t xml:space="preserve">maintaining supplier certificates, disclosure statements and other supporting documentation </w:t>
            </w:r>
          </w:p>
          <w:p w:rsidR="00000000" w:rsidRPr="008D6AF4" w:rsidP="008D6AF4">
            <w:pPr>
              <w:pStyle w:val="ListBullet"/>
            </w:pPr>
            <w:r w:rsidRPr="008D6AF4">
              <w:t xml:space="preserve">monitoring digital supply chain compliance gaps </w:t>
            </w:r>
          </w:p>
          <w:p w:rsidR="00000000" w:rsidRPr="008D6AF4" w:rsidP="008D6AF4">
            <w:pPr>
              <w:pStyle w:val="ListBullet"/>
            </w:pPr>
            <w:r w:rsidRPr="008D6AF4">
              <w:t xml:space="preserve">monitoring quality system reports, cyber security and data storage risks </w:t>
            </w:r>
          </w:p>
          <w:p w:rsidR="00000000" w:rsidRPr="008D6AF4" w:rsidP="008D6AF4">
            <w:pPr>
              <w:pStyle w:val="ListBullet"/>
            </w:pPr>
            <w:r w:rsidRPr="008D6AF4">
              <w:t xml:space="preserve">recording non-compliance actions and breaches including whistle blower reports   </w:t>
            </w:r>
          </w:p>
          <w:p w:rsidR="00000000" w:rsidRPr="008D6AF4" w:rsidP="008D6AF4">
            <w:pPr>
              <w:pStyle w:val="ListBullet"/>
            </w:pPr>
            <w:r w:rsidRPr="008D6AF4">
              <w:t>reviewing and reporting on digital supply chain com</w:t>
            </w:r>
            <w:r w:rsidRPr="008D6AF4">
              <w:t xml:space="preserve">pliance system </w:t>
            </w:r>
          </w:p>
          <w:p w:rsidR="00000000" w:rsidRPr="008D6AF4" w:rsidP="008D6AF4">
            <w:pPr>
              <w:pStyle w:val="ListBullet"/>
            </w:pPr>
            <w:r w:rsidRPr="008D6AF4">
              <w:t>undertaking remedial actions to ensure compliance</w:t>
            </w:r>
          </w:p>
          <w:p w:rsidR="00000000" w:rsidRPr="008D6AF4" w:rsidP="008D6AF4">
            <w:pPr>
              <w:pStyle w:val="ListBullet"/>
            </w:pPr>
            <w:r w:rsidRPr="008D6AF4">
              <w:t>using approved digital supply chain compliance systems and tools</w:t>
            </w:r>
          </w:p>
          <w:p w:rsidR="00000000" w:rsidRPr="008D6AF4" w:rsidP="008D6AF4">
            <w:pPr>
              <w:pStyle w:val="ListBullet"/>
            </w:pPr>
            <w:r w:rsidRPr="008D6AF4">
              <w:t>validating supplier</w:t>
            </w:r>
            <w:r>
              <w:t>’</w:t>
            </w:r>
            <w:r w:rsidRPr="008D6AF4">
              <w:t>s financial viability, contract compliance and third party affiliations</w:t>
            </w:r>
          </w:p>
          <w:p w:rsidR="00000000" w:rsidRPr="008D6AF4" w:rsidP="008D6AF4">
            <w:pPr>
              <w:pStyle w:val="ListBullet"/>
            </w:pPr>
            <w:r w:rsidRPr="008D6AF4">
              <w:t>verifying compliance responsibili</w:t>
            </w:r>
            <w:r w:rsidRPr="008D6AF4">
              <w:t>ty and level of authority</w:t>
            </w:r>
          </w:p>
          <w:p w:rsidR="00000000" w:rsidRPr="008D6AF4" w:rsidP="008D6AF4">
            <w:pPr>
              <w:pStyle w:val="ListBullet"/>
            </w:pPr>
            <w:r w:rsidRPr="008D6AF4">
              <w:t>working with digital supply chain stakeholders.</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13" w:name="O_1066436"/>
      <w:bookmarkEnd w:id="13"/>
      <w:r w:rsidRPr="008D6AF4">
        <w:t>Knowledge Evidence</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6AF4">
            <w:pPr>
              <w:pStyle w:val="BodyText"/>
              <w:rPr>
                <w:lang w:val="en-NZ"/>
              </w:rPr>
            </w:pPr>
            <w:r w:rsidRPr="008D6AF4">
              <w:t>Evidence required to demonstrate competence in this unit must be relevant to and sati</w:t>
            </w:r>
            <w:r w:rsidRPr="008D6AF4">
              <w:t>sfy all the requirements of the elements and performance criteria and includes knowledge of</w:t>
            </w:r>
          </w:p>
        </w:tc>
      </w:tr>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ListBullet"/>
            </w:pPr>
            <w:r w:rsidRPr="008D6AF4">
              <w:tab/>
              <w:t>communication methods and tools used in digital supply chains</w:t>
            </w:r>
          </w:p>
          <w:p w:rsidR="00000000" w:rsidRPr="008D6AF4" w:rsidP="008D6AF4">
            <w:pPr>
              <w:pStyle w:val="ListBullet"/>
            </w:pPr>
            <w:r w:rsidRPr="008D6AF4">
              <w:t>compliance policies, procedures and processes for digital supply chains</w:t>
            </w:r>
          </w:p>
          <w:p w:rsidR="00000000" w:rsidRPr="008D6AF4" w:rsidP="008D6AF4">
            <w:pPr>
              <w:pStyle w:val="ListBullet"/>
            </w:pPr>
            <w:r w:rsidRPr="008D6AF4">
              <w:tab/>
              <w:t>compliance strategy and Ke</w:t>
            </w:r>
            <w:r w:rsidRPr="008D6AF4">
              <w:t xml:space="preserve">y Performance Indicators (KPIs)  </w:t>
            </w:r>
          </w:p>
          <w:p w:rsidR="00000000" w:rsidRPr="008D6AF4" w:rsidP="008D6AF4">
            <w:pPr>
              <w:pStyle w:val="ListBullet"/>
            </w:pPr>
            <w:r w:rsidRPr="008D6AF4">
              <w:t xml:space="preserve">compliance systems </w:t>
            </w:r>
          </w:p>
          <w:p w:rsidR="00000000" w:rsidRPr="008D6AF4" w:rsidP="008D6AF4">
            <w:pPr>
              <w:pStyle w:val="ListBullet"/>
            </w:pPr>
            <w:r w:rsidRPr="008D6AF4">
              <w:tab/>
              <w:t xml:space="preserve">cyber security and data storage risks </w:t>
            </w:r>
          </w:p>
          <w:p w:rsidR="00000000" w:rsidRPr="008D6AF4" w:rsidP="008D6AF4">
            <w:pPr>
              <w:pStyle w:val="ListBullet"/>
            </w:pPr>
            <w:r w:rsidRPr="008D6AF4">
              <w:t>data collection and maintenance methods</w:t>
            </w:r>
          </w:p>
          <w:p w:rsidR="00000000" w:rsidRPr="008D6AF4" w:rsidP="008D6AF4">
            <w:pPr>
              <w:pStyle w:val="ListBullet"/>
            </w:pPr>
            <w:r w:rsidRPr="008D6AF4">
              <w:t xml:space="preserve">identification and control of compliance risks in digital supply chains    </w:t>
            </w:r>
          </w:p>
          <w:p w:rsidR="00000000" w:rsidRPr="008D6AF4" w:rsidP="008D6AF4">
            <w:pPr>
              <w:pStyle w:val="ListBullet"/>
            </w:pPr>
            <w:r w:rsidRPr="008D6AF4">
              <w:t>legislation, codes of practice and industry st</w:t>
            </w:r>
            <w:r w:rsidRPr="008D6AF4">
              <w:t xml:space="preserve">andards </w:t>
            </w:r>
          </w:p>
          <w:p w:rsidR="00000000" w:rsidRPr="008D6AF4" w:rsidP="008D6AF4">
            <w:pPr>
              <w:pStyle w:val="ListBullet"/>
            </w:pPr>
            <w:r w:rsidRPr="008D6AF4">
              <w:t xml:space="preserve">methods and tools for monitoring compliance gaps in digital supply chains </w:t>
            </w:r>
          </w:p>
          <w:p w:rsidR="00000000" w:rsidRPr="008D6AF4" w:rsidP="008D6AF4">
            <w:pPr>
              <w:pStyle w:val="ListBullet"/>
            </w:pPr>
            <w:r w:rsidRPr="008D6AF4">
              <w:t xml:space="preserve">non-compliance actions and breaches </w:t>
            </w:r>
          </w:p>
          <w:p w:rsidR="00000000" w:rsidRPr="008D6AF4" w:rsidP="008D6AF4">
            <w:pPr>
              <w:pStyle w:val="ListBullet"/>
            </w:pPr>
            <w:r w:rsidRPr="008D6AF4">
              <w:t xml:space="preserve">obligations in relation to whistle blower reports    </w:t>
            </w:r>
          </w:p>
          <w:p w:rsidR="00000000" w:rsidRPr="008D6AF4" w:rsidP="008D6AF4">
            <w:pPr>
              <w:pStyle w:val="ListBullet"/>
            </w:pPr>
            <w:r w:rsidRPr="008D6AF4">
              <w:tab/>
              <w:t>quality system reports including audits, inspections and feedback</w:t>
            </w:r>
          </w:p>
          <w:p w:rsidR="00000000" w:rsidRPr="008D6AF4" w:rsidP="008D6AF4">
            <w:pPr>
              <w:pStyle w:val="ListBullet"/>
            </w:pPr>
            <w:r w:rsidRPr="008D6AF4">
              <w:t xml:space="preserve">remedial action protocols and processes </w:t>
            </w:r>
          </w:p>
          <w:p w:rsidR="00000000" w:rsidRPr="008D6AF4" w:rsidP="008D6AF4">
            <w:pPr>
              <w:pStyle w:val="ListBullet"/>
            </w:pPr>
            <w:r w:rsidRPr="008D6AF4">
              <w:tab/>
              <w:t xml:space="preserve">review and report requirements  </w:t>
            </w:r>
          </w:p>
          <w:p w:rsidR="00000000" w:rsidRPr="008D6AF4" w:rsidP="008D6AF4">
            <w:pPr>
              <w:pStyle w:val="ListBullet"/>
            </w:pPr>
            <w:r w:rsidRPr="008D6AF4">
              <w:tab/>
              <w:t>supplier certificates, disclosure statements and other supporting documentation for digital supply chain compliance</w:t>
            </w:r>
          </w:p>
          <w:p w:rsidR="00000000" w:rsidRPr="008D6AF4" w:rsidP="008D6AF4">
            <w:pPr>
              <w:pStyle w:val="ListBullet"/>
            </w:pPr>
            <w:r w:rsidRPr="008D6AF4">
              <w:t>types of stakeholders in digital supply chains.</w:t>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14" w:name="O_1066437"/>
      <w:bookmarkEnd w:id="14"/>
      <w:r w:rsidRPr="008D6AF4">
        <w:t>Assessment Conditions</w:t>
      </w:r>
    </w:p>
    <w:tbl>
      <w:tblPr>
        <w:tblW w:w="9497" w:type="dxa"/>
        <w:tblLayout w:type="fixed"/>
        <w:tblCellMar>
          <w:left w:w="62" w:type="dxa"/>
          <w:right w:w="62" w:type="dxa"/>
        </w:tblCellMar>
        <w:tblLook w:val="0000"/>
      </w:tblPr>
      <w:tblGrid>
        <w:gridCol w:w="9497"/>
      </w:tblGrid>
      <w:tr w:rsidTr="008D6A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AF4" w:rsidP="008D6AF4">
            <w:pPr>
              <w:pStyle w:val="BodyText"/>
            </w:pPr>
            <w:r w:rsidRPr="008D6AF4">
              <w:t xml:space="preserve">Assessors must hold credentials specified within the Standards for Registered Training Organisations current at the time of assessment. </w:t>
            </w:r>
          </w:p>
          <w:p w:rsidR="00000000" w:rsidRPr="008D6AF4" w:rsidP="008D6AF4">
            <w:pPr>
              <w:pStyle w:val="BodyText"/>
            </w:pPr>
            <w:r w:rsidRPr="008D6AF4">
              <w:t>Assessment must satisfy the Principles of Assessment and Rules of Evidence and all regulatory requirements included within the Standards for Registered Training Organisations current at the time of assessment.</w:t>
            </w:r>
          </w:p>
          <w:p w:rsidR="00000000" w:rsidRPr="008D6AF4" w:rsidP="008D6AF4">
            <w:pPr>
              <w:pStyle w:val="BodyText"/>
            </w:pPr>
            <w:r w:rsidRPr="008D6AF4">
              <w:t>Assessment must occur in workplace operational</w:t>
            </w:r>
            <w:r w:rsidRPr="008D6AF4">
              <w:t xml:space="preserve"> situations, where it is appropriate to do so. Where this is not appropriate, assessment must occur in simulated workplace operational situations that replicate workplace conditions.</w:t>
            </w:r>
          </w:p>
          <w:p w:rsidR="00000000" w:rsidRPr="008D6AF4" w:rsidP="008D6AF4">
            <w:pPr>
              <w:pStyle w:val="BodyText"/>
            </w:pPr>
            <w:r w:rsidRPr="008D6AF4">
              <w:t xml:space="preserve">Assessment processes and techniques must be appropriate to the language, </w:t>
            </w:r>
            <w:r w:rsidRPr="008D6AF4">
              <w:t>literacy and numeracy requirements of the work being performed and the needs of the candidate.</w:t>
            </w:r>
          </w:p>
          <w:p w:rsidR="00000000" w:rsidRPr="008D6AF4" w:rsidP="008D6AF4">
            <w:pPr>
              <w:pStyle w:val="BodyText"/>
            </w:pPr>
            <w:r w:rsidRPr="008D6AF4">
              <w:t>Resources for assessment must include access to a range of</w:t>
            </w:r>
          </w:p>
          <w:p w:rsidR="00000000" w:rsidRPr="008D6AF4" w:rsidP="008D6AF4">
            <w:pPr>
              <w:pStyle w:val="ListBullet"/>
            </w:pPr>
            <w:r w:rsidRPr="008D6AF4">
              <w:t>exercises, case studies and/or other simulations</w:t>
            </w:r>
          </w:p>
          <w:p w:rsidR="00000000" w:rsidRPr="008D6AF4" w:rsidP="008D6AF4">
            <w:pPr>
              <w:pStyle w:val="ListBullet"/>
            </w:pPr>
            <w:r w:rsidRPr="008D6AF4">
              <w:t>materials, tools and equipment used in industry</w:t>
            </w:r>
          </w:p>
          <w:p w:rsidR="00000000" w:rsidRPr="008D6AF4" w:rsidP="008D6AF4">
            <w:pPr>
              <w:pStyle w:val="ListBullet"/>
            </w:pPr>
            <w:r w:rsidRPr="008D6AF4">
              <w:t>docu</w:t>
            </w:r>
            <w:r w:rsidRPr="008D6AF4">
              <w:t>mentation including organisational policies and procedures, industry standards, regulations, codes of practice, operational manuals and equipment specifications.</w:t>
            </w:r>
            <w:r w:rsidRPr="008D6AF4">
              <w:tab/>
            </w:r>
          </w:p>
        </w:tc>
      </w:tr>
    </w:tbl>
    <w:p w:rsidR="00000000" w:rsidRPr="008D6AF4" w:rsidP="008D6AF4">
      <w:pPr>
        <w:pStyle w:val="NoPaddingFontSize1"/>
      </w:pPr>
    </w:p>
    <w:p w:rsidR="00000000" w:rsidRPr="008D6AF4" w:rsidP="008D6AF4">
      <w:pPr>
        <w:pStyle w:val="AllowPageBreak"/>
      </w:pPr>
    </w:p>
    <w:p w:rsidR="00000000" w:rsidRPr="008D6AF4" w:rsidP="008D6AF4">
      <w:pPr>
        <w:pStyle w:val="Heading1"/>
      </w:pPr>
      <w:bookmarkStart w:id="15" w:name="O_1066440"/>
      <w:bookmarkEnd w:id="15"/>
      <w:r w:rsidRPr="008D6AF4">
        <w:t>Links</w:t>
      </w:r>
    </w:p>
    <w:p w:rsidR="00000000" w:rsidRPr="008D6AF4" w:rsidP="00C01205">
      <w:pPr>
        <w:pStyle w:val="BodyText"/>
      </w:pPr>
      <w:r w:rsidRPr="008D6AF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E03C8">
        <w:rPr>
          <w:rStyle w:val="Hyperlink"/>
        </w:rPr>
        <w:t>https://vetnet.gov.au/Pages/TrainingDocs.aspx?q=df441c6e-213d-43e3-874c-0b3f7036d851</w:t>
      </w:r>
      <w:r>
        <w:fldChar w:fldCharType="end"/>
      </w:r>
    </w:p>
    <w:p w:rsidR="00000000" w:rsidRPr="008D6AF4" w:rsidP="008D6AF4"/>
    <w:sectPr w:rsidSect="008D6A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4" w:rsidRPr="00C01205" w:rsidP="00C01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05" w:rsidP="008D6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1205" w:rsidP="008D6A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01205" w:rsidP="008D6A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4" w:rsidP="008D6AF4">
    <w:pPr>
      <w:pStyle w:val="Footer"/>
      <w:framePr w:wrap="around"/>
    </w:pPr>
    <w:r>
      <w:fldChar w:fldCharType="begin"/>
    </w:r>
    <w:r>
      <w:instrText xml:space="preserve"> DOCPROPERTY  Subject  \* MERGEFORMAT </w:instrText>
    </w:r>
    <w:r>
      <w:fldChar w:fldCharType="separate"/>
    </w:r>
    <w:r w:rsidR="00C01205">
      <w:t>Approved</w:t>
    </w:r>
    <w:r w:rsidR="00C01205">
      <w:fldChar w:fldCharType="end"/>
    </w:r>
    <w:r>
      <w:tab/>
      <w:t xml:space="preserve">Page </w:t>
    </w:r>
    <w:r>
      <w:fldChar w:fldCharType="begin"/>
    </w:r>
    <w:r>
      <w:instrText xml:space="preserve"> PAGE  \* Arabic  \* MERGEFORMAT </w:instrText>
    </w:r>
    <w:r>
      <w:fldChar w:fldCharType="separate"/>
    </w:r>
    <w:r w:rsidR="00C012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1205">
      <w:rPr>
        <w:noProof/>
      </w:rPr>
      <w:t>4</w:t>
    </w:r>
    <w:r>
      <w:rPr>
        <w:noProof/>
      </w:rPr>
      <w:fldChar w:fldCharType="end"/>
    </w:r>
  </w:p>
  <w:p w:rsidR="008D6AF4" w:rsidP="008D6AF4">
    <w:pPr>
      <w:pStyle w:val="Footer"/>
      <w:framePr w:wrap="around"/>
    </w:pPr>
    <w:r>
      <w:t xml:space="preserve">© Commonwealth of Australia, </w:t>
    </w:r>
    <w:r>
      <w:fldChar w:fldCharType="begin"/>
    </w:r>
    <w:r>
      <w:instrText xml:space="preserve"> DATE  \@ "yyyy"  \* MERGEFORMAT </w:instrText>
    </w:r>
    <w:r>
      <w:fldChar w:fldCharType="separate"/>
    </w:r>
    <w:r w:rsidR="00C01205">
      <w:rPr>
        <w:noProof/>
      </w:rPr>
      <w:t>2025</w:t>
    </w:r>
    <w:r>
      <w:fldChar w:fldCharType="end"/>
    </w:r>
    <w:r>
      <w:tab/>
    </w:r>
    <w:r>
      <w:fldChar w:fldCharType="begin"/>
    </w:r>
    <w:r>
      <w:instrText xml:space="preserve"> DOCPROPERTY  Author  \* MERGEFORMAT </w:instrText>
    </w:r>
    <w:r>
      <w:fldChar w:fldCharType="separate"/>
    </w:r>
    <w:r w:rsidR="00C01205">
      <w:t>Industry Skills Australia</w:t>
    </w:r>
    <w:r w:rsidR="00C01205">
      <w:fldChar w:fldCharType="end"/>
    </w:r>
  </w:p>
  <w:p w:rsidR="008D6AF4" w:rsidP="008D6A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AF4" w:rsidRPr="00C01205" w:rsidP="00C01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05" w:rsidRPr="002D2AF8" w:rsidP="008D6AF4">
    <w:pPr>
      <w:pStyle w:val="Header"/>
      <w:framePr w:wrap="around"/>
    </w:pPr>
    <w:r>
      <w:fldChar w:fldCharType="begin"/>
    </w:r>
    <w:r>
      <w:instrText xml:space="preserve"> TITLE   \* MERGEFORMAT </w:instrText>
    </w:r>
    <w:r>
      <w:fldChar w:fldCharType="separate"/>
    </w:r>
    <w:r>
      <w:t>TLIX0018X Monitor compliance in digital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1205" w:rsidP="008D6A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4" w:rsidRPr="002D2AF8" w:rsidP="008D6AF4">
    <w:pPr>
      <w:pStyle w:val="Header"/>
      <w:framePr w:wrap="around"/>
    </w:pPr>
    <w:r>
      <w:fldChar w:fldCharType="begin"/>
    </w:r>
    <w:r>
      <w:instrText xml:space="preserve"> TITLE   \* MERGEFORMAT </w:instrText>
    </w:r>
    <w:r>
      <w:fldChar w:fldCharType="separate"/>
    </w:r>
    <w:r w:rsidR="00C01205">
      <w:t>TLIX0018X Monitor compliance in digital supply chains</w:t>
    </w:r>
    <w:r w:rsidR="00C01205">
      <w:fldChar w:fldCharType="end"/>
    </w:r>
    <w:r>
      <w:tab/>
      <w:t xml:space="preserve">Date this document was generated: </w:t>
    </w:r>
    <w:r>
      <w:fldChar w:fldCharType="begin"/>
    </w:r>
    <w:r>
      <w:instrText xml:space="preserve"> CREATEDATE  \@ "d MMMM yyyy"  \* MERGEFORMAT </w:instrText>
    </w:r>
    <w:r>
      <w:fldChar w:fldCharType="separate"/>
    </w:r>
    <w:r w:rsidR="00C01205">
      <w:rPr>
        <w:noProof/>
      </w:rPr>
      <w:t>2 March 2025</w:t>
    </w:r>
    <w:r>
      <w:fldChar w:fldCharType="end"/>
    </w:r>
  </w:p>
  <w:p w:rsidR="008D6AF4" w:rsidP="008D6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76F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B8C3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AF4"/>
    <w:pPr>
      <w:spacing w:before="360" w:after="60"/>
      <w:outlineLvl w:val="0"/>
    </w:pPr>
    <w:rPr>
      <w:sz w:val="32"/>
    </w:rPr>
  </w:style>
  <w:style w:type="paragraph" w:styleId="Heading2">
    <w:name w:val="heading 2"/>
    <w:basedOn w:val="HeadingBase"/>
    <w:next w:val="BodyText"/>
    <w:link w:val="Heading2Char"/>
    <w:qFormat/>
    <w:rsid w:val="008D6AF4"/>
    <w:pPr>
      <w:keepLines/>
      <w:spacing w:before="240" w:after="120"/>
      <w:outlineLvl w:val="1"/>
    </w:pPr>
    <w:rPr>
      <w:sz w:val="28"/>
      <w:szCs w:val="40"/>
    </w:rPr>
  </w:style>
  <w:style w:type="paragraph" w:styleId="Heading3">
    <w:name w:val="heading 3"/>
    <w:basedOn w:val="HeadingBase"/>
    <w:next w:val="BodyText"/>
    <w:link w:val="Heading3Char"/>
    <w:qFormat/>
    <w:rsid w:val="008D6AF4"/>
    <w:pPr>
      <w:spacing w:before="180" w:after="120"/>
      <w:outlineLvl w:val="2"/>
    </w:pPr>
    <w:rPr>
      <w:spacing w:val="-10"/>
      <w:kern w:val="32"/>
    </w:rPr>
  </w:style>
  <w:style w:type="paragraph" w:styleId="Heading4">
    <w:name w:val="heading 4"/>
    <w:basedOn w:val="HeadingBase"/>
    <w:next w:val="BodyText"/>
    <w:link w:val="Heading4Char"/>
    <w:qFormat/>
    <w:rsid w:val="008D6AF4"/>
    <w:pPr>
      <w:spacing w:before="160" w:after="120"/>
      <w:outlineLvl w:val="3"/>
    </w:pPr>
    <w:rPr>
      <w:sz w:val="22"/>
    </w:rPr>
  </w:style>
  <w:style w:type="paragraph" w:styleId="Heading5">
    <w:name w:val="heading 5"/>
    <w:basedOn w:val="HeadingBase"/>
    <w:next w:val="Normal"/>
    <w:link w:val="Heading5Char"/>
    <w:qFormat/>
    <w:rsid w:val="008D6AF4"/>
    <w:pPr>
      <w:spacing w:before="80"/>
      <w:outlineLvl w:val="4"/>
    </w:pPr>
    <w:rPr>
      <w:color w:val="918585"/>
      <w:sz w:val="20"/>
    </w:rPr>
  </w:style>
  <w:style w:type="paragraph" w:styleId="Heading6">
    <w:name w:val="heading 6"/>
    <w:basedOn w:val="HeadingBase"/>
    <w:next w:val="Normal"/>
    <w:link w:val="Heading6Char"/>
    <w:qFormat/>
    <w:rsid w:val="008D6AF4"/>
    <w:pPr>
      <w:spacing w:before="60"/>
      <w:outlineLvl w:val="5"/>
    </w:pPr>
    <w:rPr>
      <w:color w:val="918585"/>
      <w:sz w:val="20"/>
    </w:rPr>
  </w:style>
  <w:style w:type="paragraph" w:styleId="Heading7">
    <w:name w:val="heading 7"/>
    <w:basedOn w:val="Normal"/>
    <w:next w:val="Normal"/>
    <w:link w:val="Heading7Char"/>
    <w:qFormat/>
    <w:rsid w:val="008D6AF4"/>
    <w:pPr>
      <w:ind w:left="720"/>
      <w:outlineLvl w:val="6"/>
    </w:pPr>
    <w:rPr>
      <w:i/>
    </w:rPr>
  </w:style>
  <w:style w:type="paragraph" w:styleId="Heading8">
    <w:name w:val="heading 8"/>
    <w:basedOn w:val="Normal"/>
    <w:next w:val="Normal"/>
    <w:link w:val="Heading8Char"/>
    <w:qFormat/>
    <w:rsid w:val="008D6AF4"/>
    <w:pPr>
      <w:ind w:left="720"/>
      <w:outlineLvl w:val="7"/>
    </w:pPr>
    <w:rPr>
      <w:i/>
    </w:rPr>
  </w:style>
  <w:style w:type="paragraph" w:styleId="Heading9">
    <w:name w:val="heading 9"/>
    <w:basedOn w:val="Normal"/>
    <w:next w:val="Normal"/>
    <w:link w:val="Heading9Char"/>
    <w:qFormat/>
    <w:rsid w:val="008D6AF4"/>
    <w:pPr>
      <w:ind w:left="720"/>
      <w:outlineLvl w:val="8"/>
    </w:pPr>
    <w:rPr>
      <w:i/>
    </w:rPr>
  </w:style>
  <w:style w:type="character" w:default="1" w:styleId="DefaultParagraphFont">
    <w:name w:val="Default Paragraph Font"/>
    <w:uiPriority w:val="1"/>
    <w:unhideWhenUsed/>
    <w:rsid w:val="008D6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AF4"/>
  </w:style>
  <w:style w:type="character" w:customStyle="1" w:styleId="Heading1Char">
    <w:name w:val="Heading 1 Char"/>
    <w:basedOn w:val="DefaultParagraphFont"/>
    <w:link w:val="Heading1"/>
    <w:rsid w:val="008D6AF4"/>
    <w:rPr>
      <w:rFonts w:ascii="Times New Roman" w:eastAsia="Times New Roman" w:hAnsi="Times New Roman" w:cs="Times New Roman"/>
      <w:b/>
      <w:sz w:val="32"/>
      <w:szCs w:val="20"/>
      <w:lang w:eastAsia="en-US"/>
    </w:rPr>
  </w:style>
  <w:style w:type="paragraph" w:styleId="BodyText">
    <w:name w:val="Body Text"/>
    <w:basedOn w:val="Normal"/>
    <w:link w:val="BodyTextChar"/>
    <w:rsid w:val="008D6A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AF4"/>
    <w:rPr>
      <w:rFonts w:ascii="Times New Roman" w:eastAsia="Times New Roman" w:hAnsi="Times New Roman" w:cs="Times New Roman"/>
      <w:sz w:val="24"/>
      <w:lang w:eastAsia="en-US"/>
    </w:rPr>
  </w:style>
  <w:style w:type="paragraph" w:styleId="ListBullet">
    <w:name w:val="List Bullet"/>
    <w:basedOn w:val="List"/>
    <w:rsid w:val="008D6AF4"/>
    <w:pPr>
      <w:numPr>
        <w:numId w:val="11"/>
      </w:numPr>
      <w:tabs>
        <w:tab w:val="clear" w:pos="340"/>
      </w:tabs>
      <w:spacing w:before="40" w:after="40"/>
    </w:pPr>
  </w:style>
  <w:style w:type="character" w:customStyle="1" w:styleId="SpecialBold">
    <w:name w:val="Special Bold"/>
    <w:basedOn w:val="DefaultParagraphFont"/>
    <w:rsid w:val="008D6AF4"/>
    <w:rPr>
      <w:b/>
      <w:spacing w:val="0"/>
    </w:rPr>
  </w:style>
  <w:style w:type="paragraph" w:customStyle="1" w:styleId="SuperHeading">
    <w:name w:val="SuperHeading"/>
    <w:basedOn w:val="Normal"/>
    <w:rsid w:val="008D6AF4"/>
    <w:pPr>
      <w:spacing w:before="240" w:after="120"/>
      <w:outlineLvl w:val="0"/>
    </w:pPr>
    <w:rPr>
      <w:rFonts w:ascii="Times New Roman" w:hAnsi="Times New Roman"/>
      <w:b/>
      <w:sz w:val="32"/>
    </w:rPr>
  </w:style>
  <w:style w:type="paragraph" w:customStyle="1" w:styleId="AllowPageBreak">
    <w:name w:val="AllowPageBreak"/>
    <w:rsid w:val="008D6A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6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AF4"/>
    <w:rPr>
      <w:rFonts w:ascii="Courier New" w:eastAsia="Times New Roman" w:hAnsi="Courier New" w:cs="Times New Roman"/>
      <w:i/>
      <w:szCs w:val="20"/>
      <w:lang w:eastAsia="en-US"/>
    </w:rPr>
  </w:style>
  <w:style w:type="paragraph" w:customStyle="1" w:styleId="HeadingBase">
    <w:name w:val="Heading Base"/>
    <w:rsid w:val="008D6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AF4"/>
    <w:pPr>
      <w:tabs>
        <w:tab w:val="right" w:leader="dot" w:pos="9072"/>
      </w:tabs>
      <w:ind w:left="567"/>
    </w:pPr>
    <w:rPr>
      <w:szCs w:val="22"/>
    </w:rPr>
  </w:style>
  <w:style w:type="paragraph" w:customStyle="1" w:styleId="TOCBase">
    <w:name w:val="TOC Base"/>
    <w:rsid w:val="008D6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AF4"/>
    <w:pPr>
      <w:tabs>
        <w:tab w:val="right" w:leader="dot" w:pos="9072"/>
      </w:tabs>
      <w:spacing w:before="40" w:after="40"/>
      <w:ind w:left="284"/>
    </w:pPr>
    <w:rPr>
      <w:rFonts w:ascii="Times New Roman" w:hAnsi="Times New Roman"/>
    </w:rPr>
  </w:style>
  <w:style w:type="paragraph" w:styleId="TOC1">
    <w:name w:val="toc 1"/>
    <w:basedOn w:val="TOCBase"/>
    <w:next w:val="Normal"/>
    <w:rsid w:val="008D6A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AF4"/>
    <w:rPr>
      <w:rFonts w:ascii="Times New Roman" w:eastAsia="Times New Roman" w:hAnsi="Times New Roman" w:cs="Times New Roman"/>
      <w:sz w:val="16"/>
      <w:lang w:eastAsia="en-US"/>
    </w:rPr>
  </w:style>
  <w:style w:type="paragraph" w:styleId="Title">
    <w:name w:val="Title"/>
    <w:basedOn w:val="HeadingBase"/>
    <w:link w:val="TitleChar"/>
    <w:qFormat/>
    <w:rsid w:val="008D6AF4"/>
    <w:pPr>
      <w:spacing w:before="5040"/>
      <w:jc w:val="center"/>
    </w:pPr>
    <w:rPr>
      <w:sz w:val="48"/>
      <w:szCs w:val="72"/>
      <w:lang w:val="en-US"/>
    </w:rPr>
  </w:style>
  <w:style w:type="character" w:customStyle="1" w:styleId="TitleChar">
    <w:name w:val="Title Char"/>
    <w:basedOn w:val="DefaultParagraphFont"/>
    <w:link w:val="Title"/>
    <w:rsid w:val="008D6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AF4"/>
    <w:pPr>
      <w:tabs>
        <w:tab w:val="left" w:pos="3600"/>
        <w:tab w:val="left" w:pos="3958"/>
      </w:tabs>
    </w:pPr>
  </w:style>
  <w:style w:type="paragraph" w:styleId="List">
    <w:name w:val="List"/>
    <w:basedOn w:val="BodyText"/>
    <w:next w:val="BodyText"/>
    <w:rsid w:val="008D6AF4"/>
    <w:pPr>
      <w:tabs>
        <w:tab w:val="left" w:pos="340"/>
      </w:tabs>
      <w:spacing w:before="60" w:after="60"/>
      <w:ind w:left="340" w:hanging="340"/>
    </w:pPr>
  </w:style>
  <w:style w:type="paragraph" w:customStyle="1" w:styleId="Note">
    <w:name w:val="Note"/>
    <w:basedOn w:val="BodyText"/>
    <w:rsid w:val="008D6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AF4"/>
    <w:pPr>
      <w:framePr w:wrap="auto" w:hAnchor="text" w:y="6049"/>
    </w:pPr>
    <w:rPr>
      <w:color w:val="000000"/>
      <w:sz w:val="40"/>
    </w:rPr>
  </w:style>
  <w:style w:type="paragraph" w:customStyle="1" w:styleId="TOCTitle">
    <w:name w:val="TOCTitle"/>
    <w:basedOn w:val="Heading1"/>
    <w:rsid w:val="008D6AF4"/>
    <w:pPr>
      <w:spacing w:after="240"/>
      <w:jc w:val="center"/>
      <w:outlineLvl w:val="9"/>
    </w:pPr>
    <w:rPr>
      <w:caps/>
    </w:rPr>
  </w:style>
  <w:style w:type="paragraph" w:customStyle="1" w:styleId="Version">
    <w:name w:val="Version"/>
    <w:rsid w:val="008D6A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AF4"/>
    <w:pPr>
      <w:numPr>
        <w:numId w:val="12"/>
      </w:numPr>
      <w:tabs>
        <w:tab w:val="clear" w:pos="680"/>
      </w:tabs>
    </w:pPr>
  </w:style>
  <w:style w:type="paragraph" w:styleId="Index1">
    <w:name w:val="index 1"/>
    <w:basedOn w:val="Normal"/>
    <w:next w:val="Normal"/>
    <w:semiHidden/>
    <w:rsid w:val="008D6AF4"/>
    <w:pPr>
      <w:keepNext w:val="0"/>
      <w:tabs>
        <w:tab w:val="right" w:pos="4176"/>
      </w:tabs>
      <w:ind w:left="198" w:hanging="198"/>
    </w:pPr>
    <w:rPr>
      <w:rFonts w:ascii="Garamond" w:hAnsi="Garamond"/>
    </w:rPr>
  </w:style>
  <w:style w:type="paragraph" w:styleId="IndexHeading">
    <w:name w:val="index heading"/>
    <w:basedOn w:val="Normal"/>
    <w:next w:val="Index1"/>
    <w:semiHidden/>
    <w:rsid w:val="008D6AF4"/>
    <w:pPr>
      <w:spacing w:before="120" w:after="120"/>
    </w:pPr>
    <w:rPr>
      <w:rFonts w:ascii="Arial" w:hAnsi="Arial"/>
      <w:b/>
      <w:color w:val="918585"/>
      <w:sz w:val="24"/>
    </w:rPr>
  </w:style>
  <w:style w:type="paragraph" w:styleId="Header">
    <w:name w:val="header"/>
    <w:basedOn w:val="Normal"/>
    <w:link w:val="HeaderChar"/>
    <w:rsid w:val="008D6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AF4"/>
    <w:rPr>
      <w:rFonts w:ascii="Times New Roman" w:eastAsia="Times New Roman" w:hAnsi="Times New Roman" w:cs="Times New Roman"/>
      <w:sz w:val="16"/>
      <w:szCs w:val="20"/>
      <w:lang w:val="en-GB" w:eastAsia="en-US"/>
    </w:rPr>
  </w:style>
  <w:style w:type="paragraph" w:customStyle="1" w:styleId="Chapter">
    <w:name w:val="Chapter"/>
    <w:basedOn w:val="Normal"/>
    <w:rsid w:val="008D6AF4"/>
    <w:pPr>
      <w:spacing w:before="240"/>
    </w:pPr>
    <w:rPr>
      <w:rFonts w:ascii="Times New Roman" w:hAnsi="Times New Roman"/>
      <w:smallCaps/>
      <w:spacing w:val="80"/>
      <w:sz w:val="28"/>
    </w:rPr>
  </w:style>
  <w:style w:type="paragraph" w:customStyle="1" w:styleId="InChapter">
    <w:name w:val="InChapter"/>
    <w:basedOn w:val="Heading3"/>
    <w:rsid w:val="008D6AF4"/>
    <w:pPr>
      <w:spacing w:after="240"/>
      <w:outlineLvl w:val="9"/>
    </w:pPr>
    <w:rPr>
      <w:noProof/>
    </w:rPr>
  </w:style>
  <w:style w:type="paragraph" w:styleId="Index2">
    <w:name w:val="index 2"/>
    <w:basedOn w:val="Normal"/>
    <w:next w:val="Normal"/>
    <w:semiHidden/>
    <w:rsid w:val="008D6AF4"/>
    <w:pPr>
      <w:tabs>
        <w:tab w:val="right" w:pos="4176"/>
      </w:tabs>
      <w:ind w:left="568" w:hanging="284"/>
    </w:pPr>
    <w:rPr>
      <w:rFonts w:ascii="Garamond" w:hAnsi="Garamond"/>
    </w:rPr>
  </w:style>
  <w:style w:type="paragraph" w:customStyle="1" w:styleId="Byline">
    <w:name w:val="Byline"/>
    <w:rsid w:val="008D6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AF4"/>
    <w:pPr>
      <w:tabs>
        <w:tab w:val="clear" w:pos="3600"/>
        <w:tab w:val="clear" w:pos="3958"/>
      </w:tabs>
      <w:jc w:val="right"/>
    </w:pPr>
  </w:style>
  <w:style w:type="character" w:styleId="Emphasis">
    <w:name w:val="Emphasis"/>
    <w:basedOn w:val="DefaultParagraphFont"/>
    <w:qFormat/>
    <w:rsid w:val="008D6AF4"/>
    <w:rPr>
      <w:i/>
    </w:rPr>
  </w:style>
  <w:style w:type="paragraph" w:styleId="Caption">
    <w:name w:val="caption"/>
    <w:basedOn w:val="BodyText"/>
    <w:next w:val="Normal"/>
    <w:qFormat/>
    <w:rsid w:val="008D6AF4"/>
    <w:pPr>
      <w:framePr w:w="2268" w:hSpace="181" w:vSpace="181" w:wrap="around" w:vAnchor="text" w:hAnchor="page" w:x="1135" w:y="285" w:anchorLock="1"/>
    </w:pPr>
    <w:rPr>
      <w:i/>
    </w:rPr>
  </w:style>
  <w:style w:type="paragraph" w:customStyle="1" w:styleId="MiniTOCTitle">
    <w:name w:val="MiniTOCTitle"/>
    <w:basedOn w:val="Heading4"/>
    <w:rsid w:val="008D6AF4"/>
    <w:pPr>
      <w:spacing w:before="240"/>
      <w:outlineLvl w:val="9"/>
    </w:pPr>
    <w:rPr>
      <w:noProof/>
      <w:sz w:val="24"/>
    </w:rPr>
  </w:style>
  <w:style w:type="paragraph" w:customStyle="1" w:styleId="MiniTOCItem">
    <w:name w:val="MiniTOCItem"/>
    <w:basedOn w:val="ListBullet"/>
    <w:rsid w:val="008D6AF4"/>
    <w:pPr>
      <w:numPr>
        <w:numId w:val="0"/>
      </w:numPr>
      <w:tabs>
        <w:tab w:val="right" w:leader="dot" w:pos="6521"/>
      </w:tabs>
      <w:spacing w:before="0" w:after="0"/>
    </w:pPr>
  </w:style>
  <w:style w:type="paragraph" w:customStyle="1" w:styleId="TOFTitle">
    <w:name w:val="TOFTitle"/>
    <w:basedOn w:val="TOCTitle"/>
    <w:rsid w:val="008D6AF4"/>
  </w:style>
  <w:style w:type="paragraph" w:styleId="TableofFigures">
    <w:name w:val="table of figures"/>
    <w:basedOn w:val="Normal"/>
    <w:next w:val="Normal"/>
    <w:semiHidden/>
    <w:rsid w:val="008D6AF4"/>
    <w:pPr>
      <w:tabs>
        <w:tab w:val="right" w:leader="dot" w:pos="9072"/>
      </w:tabs>
      <w:ind w:left="970" w:hanging="403"/>
    </w:pPr>
    <w:rPr>
      <w:rFonts w:ascii="Times New Roman" w:hAnsi="Times New Roman"/>
      <w:b/>
    </w:rPr>
  </w:style>
  <w:style w:type="paragraph" w:styleId="ListNumber">
    <w:name w:val="List Number"/>
    <w:basedOn w:val="List"/>
    <w:rsid w:val="008D6AF4"/>
    <w:pPr>
      <w:numPr>
        <w:numId w:val="14"/>
      </w:numPr>
      <w:tabs>
        <w:tab w:val="clear" w:pos="340"/>
      </w:tabs>
    </w:pPr>
  </w:style>
  <w:style w:type="character" w:customStyle="1" w:styleId="WingdingSymbols">
    <w:name w:val="Wingding Symbols"/>
    <w:rsid w:val="008D6AF4"/>
    <w:rPr>
      <w:rFonts w:ascii="Wingdings" w:hAnsi="Wingdings"/>
    </w:rPr>
  </w:style>
  <w:style w:type="paragraph" w:customStyle="1" w:styleId="TableHeading">
    <w:name w:val="Table Heading"/>
    <w:basedOn w:val="HeadingBase"/>
    <w:rsid w:val="008D6AF4"/>
    <w:pPr>
      <w:keepLines/>
      <w:pBdr>
        <w:bottom w:val="single" w:sz="6" w:space="1" w:color="918585"/>
      </w:pBdr>
      <w:spacing w:before="240"/>
    </w:pPr>
  </w:style>
  <w:style w:type="character" w:customStyle="1" w:styleId="HotSpot">
    <w:name w:val="HotSpot"/>
    <w:rsid w:val="008D6AF4"/>
    <w:rPr>
      <w:color w:val="0033CC"/>
      <w:u w:val="none"/>
    </w:rPr>
  </w:style>
  <w:style w:type="paragraph" w:customStyle="1" w:styleId="BodyTextRight">
    <w:name w:val="Body Text Right"/>
    <w:basedOn w:val="BodyText"/>
    <w:rsid w:val="008D6AF4"/>
    <w:pPr>
      <w:spacing w:before="0" w:after="0"/>
      <w:jc w:val="right"/>
    </w:pPr>
  </w:style>
  <w:style w:type="paragraph" w:styleId="Index3">
    <w:name w:val="index 3"/>
    <w:basedOn w:val="ListNumber2"/>
    <w:next w:val="Normal"/>
    <w:semiHidden/>
    <w:rsid w:val="008D6AF4"/>
    <w:pPr>
      <w:numPr>
        <w:numId w:val="0"/>
      </w:numPr>
      <w:tabs>
        <w:tab w:val="right" w:leader="dot" w:pos="4176"/>
      </w:tabs>
    </w:pPr>
  </w:style>
  <w:style w:type="paragraph" w:styleId="ListNumber2">
    <w:name w:val="List Number 2"/>
    <w:basedOn w:val="List2"/>
    <w:rsid w:val="008D6AF4"/>
    <w:pPr>
      <w:numPr>
        <w:numId w:val="9"/>
      </w:numPr>
      <w:tabs>
        <w:tab w:val="clear" w:pos="1060"/>
      </w:tabs>
    </w:pPr>
  </w:style>
  <w:style w:type="paragraph" w:customStyle="1" w:styleId="MarginNote">
    <w:name w:val="Margin Note"/>
    <w:basedOn w:val="BodyText"/>
    <w:rsid w:val="008D6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AF4"/>
    <w:rPr>
      <w:sz w:val="32"/>
    </w:rPr>
  </w:style>
  <w:style w:type="paragraph" w:customStyle="1" w:styleId="HeadingProcedure">
    <w:name w:val="Heading Procedure"/>
    <w:basedOn w:val="HeadingBase"/>
    <w:next w:val="Normal"/>
    <w:rsid w:val="008D6AF4"/>
    <w:pPr>
      <w:tabs>
        <w:tab w:val="left" w:pos="0"/>
      </w:tabs>
      <w:spacing w:before="120" w:after="60"/>
    </w:pPr>
    <w:rPr>
      <w:i/>
      <w:color w:val="918585"/>
      <w:sz w:val="22"/>
    </w:rPr>
  </w:style>
  <w:style w:type="paragraph" w:customStyle="1" w:styleId="TableBodyText">
    <w:name w:val="Table Body Text"/>
    <w:basedOn w:val="BodyText"/>
    <w:rsid w:val="008D6AF4"/>
    <w:pPr>
      <w:spacing w:before="60" w:after="60"/>
    </w:pPr>
  </w:style>
  <w:style w:type="paragraph" w:styleId="ListContinue">
    <w:name w:val="List Continue"/>
    <w:basedOn w:val="List"/>
    <w:rsid w:val="008D6AF4"/>
    <w:pPr>
      <w:ind w:firstLine="0"/>
    </w:pPr>
  </w:style>
  <w:style w:type="paragraph" w:customStyle="1" w:styleId="ListNote">
    <w:name w:val="List Note"/>
    <w:basedOn w:val="List"/>
    <w:rsid w:val="008D6AF4"/>
    <w:pPr>
      <w:pBdr>
        <w:top w:val="single" w:sz="6" w:space="2" w:color="918585"/>
        <w:bottom w:val="single" w:sz="6" w:space="2" w:color="918585"/>
      </w:pBdr>
      <w:tabs>
        <w:tab w:val="left" w:pos="1021"/>
      </w:tabs>
      <w:ind w:firstLine="0"/>
    </w:pPr>
  </w:style>
  <w:style w:type="paragraph" w:customStyle="1" w:styleId="Warning">
    <w:name w:val="Warning"/>
    <w:basedOn w:val="BodyText"/>
    <w:rsid w:val="008D6AF4"/>
    <w:pPr>
      <w:shd w:val="clear" w:color="auto" w:fill="D9D9D9"/>
      <w:tabs>
        <w:tab w:val="left" w:pos="992"/>
      </w:tabs>
      <w:ind w:left="119" w:right="119"/>
    </w:pPr>
    <w:rPr>
      <w:sz w:val="20"/>
    </w:rPr>
  </w:style>
  <w:style w:type="paragraph" w:customStyle="1" w:styleId="MarginIcons">
    <w:name w:val="Margin Icons"/>
    <w:basedOn w:val="BodyText"/>
    <w:rsid w:val="008D6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AF4"/>
    <w:rPr>
      <w:rFonts w:ascii="Courier New" w:hAnsi="Courier New"/>
    </w:rPr>
  </w:style>
  <w:style w:type="paragraph" w:customStyle="1" w:styleId="NoteBullet">
    <w:name w:val="Note Bullet"/>
    <w:basedOn w:val="Note"/>
    <w:rsid w:val="008D6AF4"/>
    <w:pPr>
      <w:tabs>
        <w:tab w:val="clear" w:pos="680"/>
      </w:tabs>
      <w:spacing w:before="60" w:after="60"/>
    </w:pPr>
  </w:style>
  <w:style w:type="paragraph" w:customStyle="1" w:styleId="SubHeading2">
    <w:name w:val="SubHeading2"/>
    <w:basedOn w:val="HeadingBase"/>
    <w:rsid w:val="008D6AF4"/>
    <w:pPr>
      <w:spacing w:before="240" w:after="60"/>
    </w:pPr>
    <w:rPr>
      <w:sz w:val="20"/>
    </w:rPr>
  </w:style>
  <w:style w:type="paragraph" w:customStyle="1" w:styleId="SubHeading1">
    <w:name w:val="SubHeading1"/>
    <w:basedOn w:val="HeadingBase"/>
    <w:rsid w:val="008D6AF4"/>
    <w:pPr>
      <w:spacing w:before="240" w:after="60"/>
    </w:pPr>
    <w:rPr>
      <w:color w:val="918585"/>
      <w:sz w:val="22"/>
    </w:rPr>
  </w:style>
  <w:style w:type="paragraph" w:customStyle="1" w:styleId="SideHeading">
    <w:name w:val="Side Heading"/>
    <w:basedOn w:val="HeadingBase"/>
    <w:rsid w:val="008D6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AF4"/>
    <w:pPr>
      <w:numPr>
        <w:numId w:val="10"/>
      </w:numPr>
    </w:pPr>
  </w:style>
  <w:style w:type="paragraph" w:styleId="PlainText">
    <w:name w:val="Plain Text"/>
    <w:basedOn w:val="Normal"/>
    <w:link w:val="PlainTextChar"/>
    <w:rsid w:val="008D6AF4"/>
    <w:rPr>
      <w:sz w:val="20"/>
    </w:rPr>
  </w:style>
  <w:style w:type="character" w:customStyle="1" w:styleId="PlainTextChar">
    <w:name w:val="Plain Text Char"/>
    <w:basedOn w:val="DefaultParagraphFont"/>
    <w:link w:val="PlainText"/>
    <w:rsid w:val="008D6AF4"/>
    <w:rPr>
      <w:rFonts w:ascii="Courier New" w:eastAsia="Times New Roman" w:hAnsi="Courier New" w:cs="Times New Roman"/>
      <w:sz w:val="20"/>
      <w:szCs w:val="20"/>
      <w:lang w:eastAsia="en-US"/>
    </w:rPr>
  </w:style>
  <w:style w:type="character" w:customStyle="1" w:styleId="MenuOption">
    <w:name w:val="Menu Option"/>
    <w:basedOn w:val="DefaultParagraphFont"/>
    <w:rsid w:val="008D6AF4"/>
    <w:rPr>
      <w:b/>
      <w:smallCaps/>
    </w:rPr>
  </w:style>
  <w:style w:type="paragraph" w:customStyle="1" w:styleId="TableListNumber">
    <w:name w:val="Table List Number"/>
    <w:basedOn w:val="ListNumber"/>
    <w:rsid w:val="008D6AF4"/>
    <w:pPr>
      <w:numPr>
        <w:numId w:val="0"/>
      </w:numPr>
    </w:pPr>
  </w:style>
  <w:style w:type="paragraph" w:styleId="TOC4">
    <w:name w:val="toc 4"/>
    <w:basedOn w:val="TOCBase"/>
    <w:next w:val="Normal"/>
    <w:semiHidden/>
    <w:rsid w:val="008D6AF4"/>
    <w:pPr>
      <w:tabs>
        <w:tab w:val="right" w:leader="dot" w:pos="9071"/>
      </w:tabs>
      <w:ind w:left="1701"/>
    </w:pPr>
  </w:style>
  <w:style w:type="paragraph" w:customStyle="1" w:styleId="ListAlpha">
    <w:name w:val="List Alpha"/>
    <w:basedOn w:val="List"/>
    <w:rsid w:val="008D6AF4"/>
    <w:pPr>
      <w:numPr>
        <w:numId w:val="8"/>
      </w:numPr>
    </w:pPr>
  </w:style>
  <w:style w:type="paragraph" w:customStyle="1" w:styleId="ListAlpha2">
    <w:name w:val="List Alpha 2"/>
    <w:basedOn w:val="List2"/>
    <w:rsid w:val="008D6AF4"/>
    <w:pPr>
      <w:numPr>
        <w:numId w:val="7"/>
      </w:numPr>
    </w:pPr>
  </w:style>
  <w:style w:type="paragraph" w:styleId="List2">
    <w:name w:val="List 2"/>
    <w:basedOn w:val="BodyText"/>
    <w:rsid w:val="008D6AF4"/>
    <w:pPr>
      <w:tabs>
        <w:tab w:val="left" w:pos="680"/>
      </w:tabs>
      <w:spacing w:before="60" w:after="60"/>
      <w:ind w:left="680" w:hanging="340"/>
    </w:pPr>
  </w:style>
  <w:style w:type="paragraph" w:styleId="List3">
    <w:name w:val="List 3"/>
    <w:basedOn w:val="BodyText"/>
    <w:rsid w:val="008D6AF4"/>
    <w:pPr>
      <w:tabs>
        <w:tab w:val="left" w:pos="1021"/>
      </w:tabs>
      <w:spacing w:before="60" w:after="60"/>
      <w:ind w:left="1020" w:hanging="340"/>
    </w:pPr>
  </w:style>
  <w:style w:type="paragraph" w:styleId="List4">
    <w:name w:val="List 4"/>
    <w:basedOn w:val="BodyText"/>
    <w:rsid w:val="008D6AF4"/>
    <w:pPr>
      <w:tabs>
        <w:tab w:val="left" w:pos="1361"/>
      </w:tabs>
      <w:spacing w:before="60" w:after="60"/>
      <w:ind w:left="1361" w:hanging="340"/>
    </w:pPr>
  </w:style>
  <w:style w:type="paragraph" w:styleId="List5">
    <w:name w:val="List 5"/>
    <w:basedOn w:val="BodyText"/>
    <w:rsid w:val="008D6AF4"/>
    <w:pPr>
      <w:tabs>
        <w:tab w:val="left" w:pos="1701"/>
      </w:tabs>
      <w:spacing w:before="60" w:after="60"/>
      <w:ind w:left="1701" w:hanging="340"/>
    </w:pPr>
  </w:style>
  <w:style w:type="paragraph" w:styleId="ListBullet3">
    <w:name w:val="List Bullet 3"/>
    <w:basedOn w:val="List3"/>
    <w:rsid w:val="008D6AF4"/>
    <w:pPr>
      <w:numPr>
        <w:numId w:val="13"/>
      </w:numPr>
      <w:tabs>
        <w:tab w:val="clear" w:pos="1021"/>
      </w:tabs>
      <w:ind w:left="1037" w:hanging="357"/>
    </w:pPr>
  </w:style>
  <w:style w:type="paragraph" w:styleId="ListBullet4">
    <w:name w:val="List Bullet 4"/>
    <w:basedOn w:val="List4"/>
    <w:rsid w:val="008D6AF4"/>
    <w:pPr>
      <w:numPr>
        <w:numId w:val="2"/>
      </w:numPr>
      <w:tabs>
        <w:tab w:val="clear" w:pos="1361"/>
      </w:tabs>
    </w:pPr>
  </w:style>
  <w:style w:type="paragraph" w:styleId="ListBullet5">
    <w:name w:val="List Bullet 5"/>
    <w:basedOn w:val="List5"/>
    <w:rsid w:val="008D6AF4"/>
    <w:pPr>
      <w:numPr>
        <w:numId w:val="3"/>
      </w:numPr>
    </w:pPr>
  </w:style>
  <w:style w:type="paragraph" w:styleId="ListContinue2">
    <w:name w:val="List Continue 2"/>
    <w:basedOn w:val="List2"/>
    <w:rsid w:val="008D6AF4"/>
    <w:pPr>
      <w:ind w:firstLine="0"/>
    </w:pPr>
  </w:style>
  <w:style w:type="paragraph" w:styleId="ListContinue3">
    <w:name w:val="List Continue 3"/>
    <w:basedOn w:val="List3"/>
    <w:rsid w:val="008D6AF4"/>
    <w:pPr>
      <w:ind w:left="1021" w:firstLine="0"/>
    </w:pPr>
  </w:style>
  <w:style w:type="paragraph" w:styleId="ListContinue4">
    <w:name w:val="List Continue 4"/>
    <w:basedOn w:val="List4"/>
    <w:rsid w:val="008D6AF4"/>
    <w:pPr>
      <w:ind w:firstLine="0"/>
    </w:pPr>
  </w:style>
  <w:style w:type="paragraph" w:styleId="ListContinue5">
    <w:name w:val="List Continue 5"/>
    <w:basedOn w:val="List5"/>
    <w:rsid w:val="008D6AF4"/>
    <w:pPr>
      <w:ind w:firstLine="0"/>
    </w:pPr>
  </w:style>
  <w:style w:type="paragraph" w:styleId="ListNumber3">
    <w:name w:val="List Number 3"/>
    <w:basedOn w:val="List3"/>
    <w:rsid w:val="008D6AF4"/>
    <w:pPr>
      <w:numPr>
        <w:numId w:val="4"/>
      </w:numPr>
    </w:pPr>
  </w:style>
  <w:style w:type="paragraph" w:styleId="ListNumber4">
    <w:name w:val="List Number 4"/>
    <w:basedOn w:val="List4"/>
    <w:rsid w:val="008D6AF4"/>
    <w:pPr>
      <w:numPr>
        <w:numId w:val="5"/>
      </w:numPr>
    </w:pPr>
  </w:style>
  <w:style w:type="paragraph" w:styleId="ListNumber5">
    <w:name w:val="List Number 5"/>
    <w:basedOn w:val="List5"/>
    <w:rsid w:val="008D6AF4"/>
    <w:pPr>
      <w:numPr>
        <w:numId w:val="6"/>
      </w:numPr>
    </w:pPr>
  </w:style>
  <w:style w:type="paragraph" w:styleId="BlockText">
    <w:name w:val="Block Text"/>
    <w:basedOn w:val="Normal"/>
    <w:rsid w:val="008D6AF4"/>
    <w:pPr>
      <w:spacing w:after="120"/>
      <w:ind w:left="1440" w:right="1440"/>
    </w:pPr>
  </w:style>
  <w:style w:type="character" w:customStyle="1" w:styleId="Subscript">
    <w:name w:val="Subscript"/>
    <w:basedOn w:val="DefaultParagraphFont"/>
    <w:rsid w:val="008D6AF4"/>
    <w:rPr>
      <w:sz w:val="16"/>
      <w:vertAlign w:val="subscript"/>
    </w:rPr>
  </w:style>
  <w:style w:type="character" w:customStyle="1" w:styleId="Superscript">
    <w:name w:val="Superscript"/>
    <w:basedOn w:val="DefaultParagraphFont"/>
    <w:rsid w:val="008D6AF4"/>
    <w:rPr>
      <w:sz w:val="16"/>
      <w:vertAlign w:val="superscript"/>
    </w:rPr>
  </w:style>
  <w:style w:type="character" w:customStyle="1" w:styleId="Symbols">
    <w:name w:val="Symbols"/>
    <w:basedOn w:val="DefaultParagraphFont"/>
    <w:rsid w:val="008D6AF4"/>
    <w:rPr>
      <w:rFonts w:ascii="Symbol" w:hAnsi="Symbol"/>
    </w:rPr>
  </w:style>
  <w:style w:type="character" w:customStyle="1" w:styleId="MenuOptions">
    <w:name w:val="Menu Options"/>
    <w:basedOn w:val="DefaultParagraphFont"/>
    <w:rsid w:val="008D6AF4"/>
    <w:rPr>
      <w:rFonts w:ascii="Arial Narrow" w:hAnsi="Arial Narrow"/>
      <w:smallCaps/>
    </w:rPr>
  </w:style>
  <w:style w:type="character" w:customStyle="1" w:styleId="Buttons">
    <w:name w:val="Buttons"/>
    <w:basedOn w:val="DefaultParagraphFont"/>
    <w:rsid w:val="008D6AF4"/>
    <w:rPr>
      <w:b/>
    </w:rPr>
  </w:style>
  <w:style w:type="character" w:customStyle="1" w:styleId="Underlined">
    <w:name w:val="Underlined"/>
    <w:basedOn w:val="DefaultParagraphFont"/>
    <w:rsid w:val="008D6AF4"/>
    <w:rPr>
      <w:u w:val="single"/>
    </w:rPr>
  </w:style>
  <w:style w:type="paragraph" w:customStyle="1" w:styleId="TableBodyTextRight">
    <w:name w:val="Table Body Text Right"/>
    <w:basedOn w:val="TableBodyText"/>
    <w:rsid w:val="008D6AF4"/>
    <w:pPr>
      <w:widowControl w:val="0"/>
      <w:autoSpaceDE w:val="0"/>
      <w:autoSpaceDN w:val="0"/>
      <w:adjustRightInd w:val="0"/>
      <w:jc w:val="right"/>
    </w:pPr>
    <w:rPr>
      <w:rFonts w:cs="Arial"/>
      <w:szCs w:val="18"/>
    </w:rPr>
  </w:style>
  <w:style w:type="paragraph" w:customStyle="1" w:styleId="CopyrightText">
    <w:name w:val="Copyright Text"/>
    <w:basedOn w:val="BodyText"/>
    <w:rsid w:val="008D6AF4"/>
    <w:rPr>
      <w:sz w:val="18"/>
    </w:rPr>
  </w:style>
  <w:style w:type="paragraph" w:customStyle="1" w:styleId="BodySmallRight">
    <w:name w:val="Body Small Right"/>
    <w:basedOn w:val="BodyTextRight"/>
    <w:rsid w:val="008D6AF4"/>
    <w:rPr>
      <w:sz w:val="18"/>
      <w:szCs w:val="18"/>
    </w:rPr>
  </w:style>
  <w:style w:type="paragraph" w:customStyle="1" w:styleId="MarginEdition">
    <w:name w:val="Margin Edition"/>
    <w:basedOn w:val="MarginNote"/>
    <w:rsid w:val="008D6AF4"/>
    <w:pPr>
      <w:spacing w:before="0" w:after="0"/>
    </w:pPr>
    <w:rPr>
      <w:rFonts w:ascii="Times New Roman" w:hAnsi="Times New Roman"/>
      <w:color w:val="999999"/>
    </w:rPr>
  </w:style>
  <w:style w:type="paragraph" w:customStyle="1" w:styleId="Spacer">
    <w:name w:val="Spacer"/>
    <w:basedOn w:val="Normal"/>
    <w:rsid w:val="008D6AF4"/>
    <w:rPr>
      <w:sz w:val="2"/>
      <w:szCs w:val="2"/>
    </w:rPr>
  </w:style>
  <w:style w:type="character" w:customStyle="1" w:styleId="Small">
    <w:name w:val="Small"/>
    <w:basedOn w:val="DefaultParagraphFont"/>
    <w:rsid w:val="008D6AF4"/>
    <w:rPr>
      <w:sz w:val="16"/>
    </w:rPr>
  </w:style>
  <w:style w:type="paragraph" w:customStyle="1" w:styleId="WideTable">
    <w:name w:val="Wide Table"/>
    <w:basedOn w:val="Normal"/>
    <w:rsid w:val="008D6AF4"/>
    <w:pPr>
      <w:ind w:left="-1418"/>
    </w:pPr>
    <w:rPr>
      <w:sz w:val="2"/>
      <w:szCs w:val="2"/>
    </w:rPr>
  </w:style>
  <w:style w:type="character" w:styleId="PageNumber">
    <w:name w:val="page number"/>
    <w:basedOn w:val="DefaultParagraphFont"/>
    <w:rsid w:val="008D6AF4"/>
  </w:style>
  <w:style w:type="paragraph" w:styleId="Quote">
    <w:name w:val="Quote"/>
    <w:basedOn w:val="Heading1"/>
    <w:link w:val="QuoteChar"/>
    <w:qFormat/>
    <w:rsid w:val="008D6AF4"/>
    <w:rPr>
      <w:b w:val="0"/>
      <w:sz w:val="72"/>
      <w:szCs w:val="72"/>
      <w:lang w:val="en-NZ"/>
    </w:rPr>
  </w:style>
  <w:style w:type="character" w:customStyle="1" w:styleId="QuoteChar">
    <w:name w:val="Quote Char"/>
    <w:basedOn w:val="DefaultParagraphFont"/>
    <w:link w:val="Quote"/>
    <w:rsid w:val="008D6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AF4"/>
    <w:pPr>
      <w:pageBreakBefore/>
    </w:pPr>
  </w:style>
  <w:style w:type="paragraph" w:customStyle="1" w:styleId="Border">
    <w:name w:val="Border"/>
    <w:basedOn w:val="Normal"/>
    <w:qFormat/>
    <w:rsid w:val="008D6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AF4"/>
    <w:rPr>
      <w:b/>
      <w:bCs/>
      <w:i/>
      <w:iCs/>
      <w:color w:val="auto"/>
    </w:rPr>
  </w:style>
  <w:style w:type="paragraph" w:styleId="IntenseQuote">
    <w:name w:val="Intense Quote"/>
    <w:basedOn w:val="Normal"/>
    <w:next w:val="Normal"/>
    <w:link w:val="IntenseQuoteChar"/>
    <w:uiPriority w:val="30"/>
    <w:qFormat/>
    <w:rsid w:val="008D6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AF4"/>
    <w:rPr>
      <w:smallCaps/>
      <w:color w:val="auto"/>
      <w:u w:val="single"/>
    </w:rPr>
  </w:style>
  <w:style w:type="character" w:styleId="IntenseReference">
    <w:name w:val="Intense Reference"/>
    <w:basedOn w:val="DefaultParagraphFont"/>
    <w:uiPriority w:val="32"/>
    <w:qFormat/>
    <w:rsid w:val="008D6AF4"/>
    <w:rPr>
      <w:b/>
      <w:bCs/>
      <w:smallCaps/>
      <w:color w:val="auto"/>
      <w:spacing w:val="5"/>
      <w:u w:val="single"/>
    </w:rPr>
  </w:style>
  <w:style w:type="paragraph" w:customStyle="1" w:styleId="2ColumnHeading">
    <w:name w:val="2Column Heading"/>
    <w:basedOn w:val="BodyText"/>
    <w:qFormat/>
    <w:rsid w:val="008D6AF4"/>
    <w:pPr>
      <w:spacing w:after="60"/>
      <w:ind w:left="-2268"/>
    </w:pPr>
    <w:rPr>
      <w:b/>
    </w:rPr>
  </w:style>
  <w:style w:type="paragraph" w:customStyle="1" w:styleId="Heading1TOC">
    <w:name w:val="Heading1 TOC"/>
    <w:basedOn w:val="Normal"/>
    <w:qFormat/>
    <w:rsid w:val="008D6AF4"/>
    <w:pPr>
      <w:spacing w:before="240" w:after="120"/>
    </w:pPr>
    <w:rPr>
      <w:rFonts w:ascii="Times New Roman" w:hAnsi="Times New Roman"/>
      <w:b/>
      <w:sz w:val="32"/>
    </w:rPr>
  </w:style>
  <w:style w:type="paragraph" w:customStyle="1" w:styleId="Heading2TOC">
    <w:name w:val="Heading2 TOC"/>
    <w:basedOn w:val="Normal"/>
    <w:qFormat/>
    <w:rsid w:val="008D6AF4"/>
    <w:pPr>
      <w:spacing w:before="240" w:after="60"/>
    </w:pPr>
    <w:rPr>
      <w:rFonts w:ascii="Times New Roman" w:hAnsi="Times New Roman"/>
      <w:b/>
      <w:sz w:val="28"/>
    </w:rPr>
  </w:style>
  <w:style w:type="character" w:customStyle="1" w:styleId="Underline">
    <w:name w:val="Underline"/>
    <w:basedOn w:val="DefaultParagraphFont"/>
    <w:qFormat/>
    <w:rsid w:val="008D6AF4"/>
    <w:rPr>
      <w:u w:val="single"/>
    </w:rPr>
  </w:style>
  <w:style w:type="character" w:customStyle="1" w:styleId="BoldandItalics">
    <w:name w:val="Bold and Italics"/>
    <w:qFormat/>
    <w:rsid w:val="008D6AF4"/>
    <w:rPr>
      <w:b/>
      <w:i/>
      <w:u w:val="none"/>
    </w:rPr>
  </w:style>
  <w:style w:type="paragraph" w:styleId="BalloonText">
    <w:name w:val="Balloon Text"/>
    <w:basedOn w:val="Normal"/>
    <w:link w:val="BalloonTextChar"/>
    <w:rsid w:val="008D6AF4"/>
    <w:rPr>
      <w:rFonts w:ascii="Tahoma" w:hAnsi="Tahoma" w:cs="Tahoma"/>
      <w:sz w:val="16"/>
      <w:szCs w:val="16"/>
    </w:rPr>
  </w:style>
  <w:style w:type="character" w:customStyle="1" w:styleId="BalloonTextChar">
    <w:name w:val="Balloon Text Char"/>
    <w:basedOn w:val="DefaultParagraphFont"/>
    <w:link w:val="BalloonText"/>
    <w:rsid w:val="008D6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A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AF4"/>
    <w:rPr>
      <w:b/>
      <w:color w:val="660033"/>
      <w:spacing w:val="0"/>
    </w:rPr>
  </w:style>
  <w:style w:type="paragraph" w:customStyle="1" w:styleId="Nameditemlist">
    <w:name w:val="Named item list"/>
    <w:basedOn w:val="BodyText"/>
    <w:qFormat/>
    <w:rsid w:val="008D6AF4"/>
    <w:pPr>
      <w:tabs>
        <w:tab w:val="left" w:pos="2835"/>
      </w:tabs>
      <w:ind w:left="2835" w:hanging="2835"/>
    </w:pPr>
  </w:style>
  <w:style w:type="paragraph" w:customStyle="1" w:styleId="BodyTextnopadding">
    <w:name w:val="Body Text no padding"/>
    <w:basedOn w:val="BodyText"/>
    <w:qFormat/>
    <w:rsid w:val="008D6AF4"/>
    <w:pPr>
      <w:spacing w:before="0" w:after="0"/>
    </w:pPr>
  </w:style>
  <w:style w:type="paragraph" w:customStyle="1" w:styleId="BodyTextBold">
    <w:name w:val="Body Text Bold"/>
    <w:basedOn w:val="BodyText"/>
    <w:qFormat/>
    <w:rsid w:val="008D6AF4"/>
    <w:rPr>
      <w:b/>
    </w:rPr>
  </w:style>
  <w:style w:type="character" w:styleId="Hyperlink">
    <w:name w:val="Hyperlink"/>
    <w:basedOn w:val="DefaultParagraphFont"/>
    <w:uiPriority w:val="99"/>
    <w:unhideWhenUsed/>
    <w:rsid w:val="00C01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7306</Characters>
  <Application>Microsoft Office Word</Application>
  <DocSecurity>0</DocSecurity>
  <Lines>243</Lines>
  <Paragraphs>142</Paragraphs>
  <ScaleCrop>false</ScaleCrop>
  <Company>Author-it Software Corporation Ltd.</Company>
  <LinksUpToDate>false</LinksUpToDate>
  <CharactersWithSpaces>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TLIX0018X Monitor compliance in digital supply chains</dc:title>
  <dc:subject>Approved</dc:subject>
  <dc:creator>Industry Skills Australia</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