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4E91" w:rsidP="00F44E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TLIX0018X Monitor compliance in digital supply chains</w:t>
      </w:r>
      <w:r>
        <w:fldChar w:fldCharType="end"/>
      </w:r>
    </w:p>
    <w:p w:rsidR="00F44E91" w:rsidP="00F44E91">
      <w:pPr>
        <w:pStyle w:val="Version"/>
        <w:sectPr w:rsidSect="002E41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4112" w:rsidP="002E4112">
      <w:pPr>
        <w:pStyle w:val="SuperHeading"/>
      </w:pPr>
      <w:r w:rsidRPr="002E4112">
        <w:t>Assessment Requirements for TLIX0018X Monitor compliance in digital supply chains</w:t>
      </w:r>
    </w:p>
    <w:p w:rsidR="00000000" w:rsidRPr="002E4112" w:rsidP="002E4112">
      <w:pPr>
        <w:pStyle w:val="Heading1"/>
      </w:pPr>
      <w:bookmarkStart w:id="1" w:name="O_1066434"/>
      <w:bookmarkEnd w:id="1"/>
      <w:r w:rsidRPr="002E411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4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112" w:rsidP="002E4112">
            <w:pPr>
              <w:pStyle w:val="BodyText"/>
            </w:pPr>
            <w:r w:rsidRPr="002E4112">
              <w:rPr>
                <w:rStyle w:val="SpecialBold"/>
              </w:rPr>
              <w:t xml:space="preserve">Release 1. </w:t>
            </w:r>
            <w:r w:rsidRPr="002E4112">
              <w:t>This is the first release of this unit of competency in the TLI Transport and Logistics Training Package.</w:t>
            </w:r>
          </w:p>
        </w:tc>
      </w:tr>
    </w:tbl>
    <w:p w:rsidR="00000000" w:rsidRPr="002E4112" w:rsidP="002E4112">
      <w:pPr>
        <w:pStyle w:val="NoPaddingFontSize1"/>
      </w:pPr>
    </w:p>
    <w:p w:rsidR="00000000" w:rsidRPr="002E4112" w:rsidP="002E4112">
      <w:pPr>
        <w:pStyle w:val="AllowPageBreak"/>
      </w:pPr>
    </w:p>
    <w:p w:rsidR="00000000" w:rsidRPr="002E4112" w:rsidP="002E4112">
      <w:pPr>
        <w:pStyle w:val="Heading1"/>
      </w:pPr>
      <w:bookmarkStart w:id="2" w:name="O_1066435"/>
      <w:bookmarkEnd w:id="2"/>
      <w:r w:rsidRPr="002E411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4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112">
            <w:pPr>
              <w:pStyle w:val="BodyText"/>
              <w:rPr>
                <w:lang w:val="en-NZ"/>
              </w:rPr>
            </w:pPr>
            <w:r w:rsidRPr="002E4112">
              <w:t>Evidence required to demonstrate competence in this unit must be relevant to and satisfy all the requirements of the elements and performance criteria on at least one occasion and includes</w:t>
            </w:r>
          </w:p>
        </w:tc>
      </w:tr>
      <w:tr w:rsidTr="002E4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112" w:rsidP="002E4112">
            <w:pPr>
              <w:pStyle w:val="ListBullet"/>
            </w:pPr>
            <w:r w:rsidRPr="002E4112">
              <w:t>collecting, maintaining and monitor</w:t>
            </w:r>
            <w:r w:rsidRPr="002E4112">
              <w:t xml:space="preserve">ing compliance data  </w:t>
            </w:r>
          </w:p>
          <w:p w:rsidR="00000000" w:rsidRPr="002E4112" w:rsidP="002E4112">
            <w:pPr>
              <w:pStyle w:val="ListBullet"/>
            </w:pPr>
            <w:r w:rsidRPr="002E4112">
              <w:t xml:space="preserve">communicating compliance information and updates </w:t>
            </w:r>
          </w:p>
          <w:p w:rsidR="00000000" w:rsidRPr="002E4112" w:rsidP="002E4112">
            <w:pPr>
              <w:pStyle w:val="ListBullet"/>
            </w:pPr>
            <w:r w:rsidRPr="002E4112">
              <w:t>confirming digital supply chain compliance strategy and Key Performance Indicators (KPIs)</w:t>
            </w:r>
          </w:p>
          <w:p w:rsidR="00000000" w:rsidRPr="002E4112" w:rsidP="002E4112">
            <w:pPr>
              <w:pStyle w:val="ListBullet"/>
            </w:pPr>
            <w:r w:rsidRPr="002E4112">
              <w:t xml:space="preserve">determining compliance risks </w:t>
            </w:r>
          </w:p>
          <w:p w:rsidR="00000000" w:rsidRPr="002E4112" w:rsidP="002E4112">
            <w:pPr>
              <w:pStyle w:val="ListBullet"/>
            </w:pPr>
            <w:r w:rsidRPr="002E4112">
              <w:t>identifying and documenting legislation, codes of practice and i</w:t>
            </w:r>
            <w:r w:rsidRPr="002E4112">
              <w:t xml:space="preserve">ndustry standards </w:t>
            </w:r>
          </w:p>
          <w:p w:rsidR="00000000" w:rsidRPr="002E4112" w:rsidP="002E4112">
            <w:pPr>
              <w:pStyle w:val="ListBullet"/>
            </w:pPr>
            <w:r w:rsidRPr="002E4112">
              <w:t>implementing digital supply chain compliance policies, procedures and processes</w:t>
            </w:r>
          </w:p>
          <w:p w:rsidR="00000000" w:rsidRPr="002E4112" w:rsidP="002E4112">
            <w:pPr>
              <w:pStyle w:val="ListBullet"/>
            </w:pPr>
            <w:r w:rsidRPr="002E4112">
              <w:t xml:space="preserve">maintaining supplier certificates, disclosure statements and other supporting documentation </w:t>
            </w:r>
          </w:p>
          <w:p w:rsidR="00000000" w:rsidRPr="002E4112" w:rsidP="002E4112">
            <w:pPr>
              <w:pStyle w:val="ListBullet"/>
            </w:pPr>
            <w:r w:rsidRPr="002E4112">
              <w:t xml:space="preserve">monitoring digital supply chain compliance gaps </w:t>
            </w:r>
          </w:p>
          <w:p w:rsidR="00000000" w:rsidRPr="002E4112" w:rsidP="002E4112">
            <w:pPr>
              <w:pStyle w:val="ListBullet"/>
            </w:pPr>
            <w:r w:rsidRPr="002E4112">
              <w:t xml:space="preserve">monitoring quality system reports, cyber security and data storage risks </w:t>
            </w:r>
          </w:p>
          <w:p w:rsidR="00000000" w:rsidRPr="002E4112" w:rsidP="002E4112">
            <w:pPr>
              <w:pStyle w:val="ListBullet"/>
            </w:pPr>
            <w:r w:rsidRPr="002E4112">
              <w:t xml:space="preserve">recording non-compliance actions and breaches including whistle blower reports   </w:t>
            </w:r>
          </w:p>
          <w:p w:rsidR="00000000" w:rsidRPr="002E4112" w:rsidP="002E4112">
            <w:pPr>
              <w:pStyle w:val="ListBullet"/>
            </w:pPr>
            <w:r w:rsidRPr="002E4112">
              <w:t xml:space="preserve">reviewing and reporting on digital supply chain compliance system </w:t>
            </w:r>
          </w:p>
          <w:p w:rsidR="00000000" w:rsidRPr="002E4112" w:rsidP="002E4112">
            <w:pPr>
              <w:pStyle w:val="ListBullet"/>
            </w:pPr>
            <w:r w:rsidRPr="002E4112">
              <w:t>undertaking remedial actions to e</w:t>
            </w:r>
            <w:r w:rsidRPr="002E4112">
              <w:t>nsure compliance</w:t>
            </w:r>
          </w:p>
          <w:p w:rsidR="00000000" w:rsidRPr="002E4112" w:rsidP="002E4112">
            <w:pPr>
              <w:pStyle w:val="ListBullet"/>
            </w:pPr>
            <w:r w:rsidRPr="002E4112">
              <w:t>using approved digital supply chain compliance systems and tools</w:t>
            </w:r>
          </w:p>
          <w:p w:rsidR="00000000" w:rsidRPr="002E4112" w:rsidP="002E4112">
            <w:pPr>
              <w:pStyle w:val="ListBullet"/>
            </w:pPr>
            <w:r w:rsidRPr="002E4112">
              <w:t>validating supplier</w:t>
            </w:r>
            <w:r>
              <w:t>’</w:t>
            </w:r>
            <w:r w:rsidRPr="002E4112">
              <w:t>s financial viability, contract compliance and third party affiliations</w:t>
            </w:r>
          </w:p>
          <w:p w:rsidR="00000000" w:rsidRPr="002E4112" w:rsidP="002E4112">
            <w:pPr>
              <w:pStyle w:val="ListBullet"/>
            </w:pPr>
            <w:r w:rsidRPr="002E4112">
              <w:t>verifying compliance responsibility and level of authority</w:t>
            </w:r>
          </w:p>
          <w:p w:rsidR="00000000" w:rsidRPr="002E4112" w:rsidP="002E4112">
            <w:pPr>
              <w:pStyle w:val="ListBullet"/>
            </w:pPr>
            <w:r w:rsidRPr="002E4112">
              <w:t>working with digital su</w:t>
            </w:r>
            <w:r w:rsidRPr="002E4112">
              <w:t>pply chain stakeholders.</w:t>
            </w:r>
          </w:p>
        </w:tc>
      </w:tr>
    </w:tbl>
    <w:p w:rsidR="00000000" w:rsidRPr="002E4112" w:rsidP="002E4112">
      <w:pPr>
        <w:pStyle w:val="NoPaddingFontSize1"/>
      </w:pPr>
    </w:p>
    <w:p w:rsidR="00000000" w:rsidRPr="002E4112" w:rsidP="002E4112">
      <w:pPr>
        <w:pStyle w:val="AllowPageBreak"/>
      </w:pPr>
    </w:p>
    <w:p w:rsidR="00000000" w:rsidRPr="002E4112" w:rsidP="002E4112">
      <w:pPr>
        <w:pStyle w:val="Heading1"/>
      </w:pPr>
      <w:bookmarkStart w:id="3" w:name="O_1066436"/>
      <w:bookmarkEnd w:id="3"/>
      <w:r w:rsidRPr="002E411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4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112">
            <w:pPr>
              <w:pStyle w:val="BodyText"/>
              <w:rPr>
                <w:lang w:val="en-NZ"/>
              </w:rPr>
            </w:pPr>
            <w:r w:rsidRPr="002E4112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2E4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112" w:rsidP="002E4112">
            <w:pPr>
              <w:pStyle w:val="ListBullet"/>
            </w:pPr>
            <w:r w:rsidRPr="002E4112">
              <w:tab/>
            </w:r>
            <w:r w:rsidRPr="002E4112">
              <w:t>communication methods and tools used in digital supply chains</w:t>
            </w:r>
          </w:p>
          <w:p w:rsidR="00000000" w:rsidRPr="002E4112" w:rsidP="002E4112">
            <w:pPr>
              <w:pStyle w:val="ListBullet"/>
            </w:pPr>
            <w:r w:rsidRPr="002E4112">
              <w:t>compliance policies, procedures and processes for digital supply chains</w:t>
            </w:r>
          </w:p>
          <w:p w:rsidR="00000000" w:rsidRPr="002E4112" w:rsidP="002E4112">
            <w:pPr>
              <w:pStyle w:val="ListBullet"/>
            </w:pPr>
            <w:r w:rsidRPr="002E4112">
              <w:tab/>
              <w:t xml:space="preserve">compliance strategy and Key Performance Indicators (KPIs)  </w:t>
            </w:r>
          </w:p>
          <w:p w:rsidR="00000000" w:rsidRPr="002E4112" w:rsidP="002E4112">
            <w:pPr>
              <w:pStyle w:val="ListBullet"/>
            </w:pPr>
            <w:r w:rsidRPr="002E4112">
              <w:t xml:space="preserve">compliance systems </w:t>
            </w:r>
          </w:p>
          <w:p w:rsidR="00000000" w:rsidRPr="002E4112" w:rsidP="002E4112">
            <w:pPr>
              <w:pStyle w:val="ListBullet"/>
            </w:pPr>
            <w:r w:rsidRPr="002E4112">
              <w:tab/>
              <w:t xml:space="preserve">cyber security and data storage risks </w:t>
            </w:r>
          </w:p>
          <w:p w:rsidR="00000000" w:rsidRPr="002E4112" w:rsidP="002E4112">
            <w:pPr>
              <w:pStyle w:val="ListBullet"/>
            </w:pPr>
            <w:r w:rsidRPr="002E4112">
              <w:t>d</w:t>
            </w:r>
            <w:r w:rsidRPr="002E4112">
              <w:t>ata collection and maintenance methods</w:t>
            </w:r>
          </w:p>
          <w:p w:rsidR="00000000" w:rsidRPr="002E4112" w:rsidP="002E4112">
            <w:pPr>
              <w:pStyle w:val="ListBullet"/>
            </w:pPr>
            <w:r w:rsidRPr="002E4112">
              <w:t xml:space="preserve">identification and control of compliance risks in digital supply chains    </w:t>
            </w:r>
          </w:p>
          <w:p w:rsidR="00000000" w:rsidRPr="002E4112" w:rsidP="002E4112">
            <w:pPr>
              <w:pStyle w:val="ListBullet"/>
            </w:pPr>
            <w:r w:rsidRPr="002E4112">
              <w:t xml:space="preserve">legislation, codes of practice and industry standards </w:t>
            </w:r>
          </w:p>
          <w:p w:rsidR="00000000" w:rsidRPr="002E4112" w:rsidP="002E4112">
            <w:pPr>
              <w:pStyle w:val="ListBullet"/>
            </w:pPr>
            <w:r w:rsidRPr="002E4112">
              <w:t xml:space="preserve">methods and tools for monitoring compliance gaps in digital supply chains </w:t>
            </w:r>
          </w:p>
          <w:p w:rsidR="00000000" w:rsidRPr="002E4112" w:rsidP="002E4112">
            <w:pPr>
              <w:pStyle w:val="ListBullet"/>
            </w:pPr>
            <w:r w:rsidRPr="002E4112">
              <w:t>non-complia</w:t>
            </w:r>
            <w:r w:rsidRPr="002E4112">
              <w:t xml:space="preserve">nce actions and breaches </w:t>
            </w:r>
          </w:p>
          <w:p w:rsidR="00000000" w:rsidRPr="002E4112" w:rsidP="002E4112">
            <w:pPr>
              <w:pStyle w:val="ListBullet"/>
            </w:pPr>
            <w:r w:rsidRPr="002E4112">
              <w:t xml:space="preserve">obligations in relation to whistle blower reports    </w:t>
            </w:r>
          </w:p>
          <w:p w:rsidR="00000000" w:rsidRPr="002E4112" w:rsidP="002E4112">
            <w:pPr>
              <w:pStyle w:val="ListBullet"/>
            </w:pPr>
            <w:r w:rsidRPr="002E4112">
              <w:tab/>
              <w:t>quality system reports including audits, inspections and feedback</w:t>
            </w:r>
          </w:p>
          <w:p w:rsidR="00000000" w:rsidRPr="002E4112" w:rsidP="002E4112">
            <w:pPr>
              <w:pStyle w:val="ListBullet"/>
            </w:pPr>
            <w:r w:rsidRPr="002E4112">
              <w:t xml:space="preserve">remedial action protocols and processes </w:t>
            </w:r>
          </w:p>
          <w:p w:rsidR="00000000" w:rsidRPr="002E4112" w:rsidP="002E4112">
            <w:pPr>
              <w:pStyle w:val="ListBullet"/>
            </w:pPr>
            <w:r w:rsidRPr="002E4112">
              <w:tab/>
              <w:t xml:space="preserve">review and report requirements  </w:t>
            </w:r>
          </w:p>
          <w:p w:rsidR="00000000" w:rsidRPr="002E4112" w:rsidP="002E4112">
            <w:pPr>
              <w:pStyle w:val="ListBullet"/>
            </w:pPr>
            <w:r w:rsidRPr="002E4112">
              <w:tab/>
              <w:t>supplier certificates, disclosure</w:t>
            </w:r>
            <w:r w:rsidRPr="002E4112">
              <w:t xml:space="preserve"> statements and other supporting documentation for digital supply chain compliance</w:t>
            </w:r>
          </w:p>
          <w:p w:rsidR="00000000" w:rsidRPr="002E4112" w:rsidP="002E4112">
            <w:pPr>
              <w:pStyle w:val="ListBullet"/>
            </w:pPr>
            <w:r w:rsidRPr="002E4112">
              <w:t>types of stakeholders in digital supply chains.</w:t>
            </w:r>
          </w:p>
        </w:tc>
      </w:tr>
    </w:tbl>
    <w:p w:rsidR="00000000" w:rsidRPr="002E4112" w:rsidP="002E4112">
      <w:pPr>
        <w:pStyle w:val="NoPaddingFontSize1"/>
      </w:pPr>
    </w:p>
    <w:p w:rsidR="00000000" w:rsidRPr="002E4112" w:rsidP="002E4112">
      <w:pPr>
        <w:pStyle w:val="AllowPageBreak"/>
      </w:pPr>
    </w:p>
    <w:p w:rsidR="00000000" w:rsidRPr="002E4112" w:rsidP="002E4112">
      <w:pPr>
        <w:pStyle w:val="Heading1"/>
      </w:pPr>
      <w:bookmarkStart w:id="4" w:name="O_1066437"/>
      <w:bookmarkEnd w:id="4"/>
      <w:r w:rsidRPr="002E411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41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112" w:rsidP="002E4112">
            <w:pPr>
              <w:pStyle w:val="BodyText"/>
            </w:pPr>
            <w:r w:rsidRPr="002E4112">
              <w:t xml:space="preserve">Assessors must hold credentials specified within the Standards for Registered Training Organisations current at the time of assessment. </w:t>
            </w:r>
          </w:p>
          <w:p w:rsidR="00000000" w:rsidRPr="002E4112" w:rsidP="002E4112">
            <w:pPr>
              <w:pStyle w:val="BodyText"/>
            </w:pPr>
            <w:r w:rsidRPr="002E4112">
              <w:t>Assessment must satisfy the Principles of Assessment and Rules of Evidence and all regulatory requirements included wit</w:t>
            </w:r>
            <w:r w:rsidRPr="002E4112">
              <w:t>hin the Standards for Registered Training Organisations current at the time of assessment.</w:t>
            </w:r>
          </w:p>
          <w:p w:rsidR="00000000" w:rsidRPr="002E4112" w:rsidP="002E4112">
            <w:pPr>
              <w:pStyle w:val="BodyText"/>
            </w:pPr>
            <w:r w:rsidRPr="002E4112">
              <w:t>Assessment must occur in workplace operational situations, where it is appropriate to do so. Where this is not appropriate, assessment must occur in simulated workpl</w:t>
            </w:r>
            <w:r w:rsidRPr="002E4112">
              <w:t>ace operational situations that replicate workplace conditions.</w:t>
            </w:r>
          </w:p>
          <w:p w:rsidR="00000000" w:rsidRPr="002E4112" w:rsidP="002E4112">
            <w:pPr>
              <w:pStyle w:val="BodyText"/>
            </w:pPr>
            <w:r w:rsidRPr="002E411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E4112" w:rsidP="002E4112">
            <w:pPr>
              <w:pStyle w:val="BodyText"/>
            </w:pPr>
            <w:r w:rsidRPr="002E4112">
              <w:t>Resources for assessment</w:t>
            </w:r>
            <w:r w:rsidRPr="002E4112">
              <w:t xml:space="preserve"> must include access to a range of</w:t>
            </w:r>
          </w:p>
          <w:p w:rsidR="00000000" w:rsidRPr="002E4112" w:rsidP="002E4112">
            <w:pPr>
              <w:pStyle w:val="ListBullet"/>
            </w:pPr>
            <w:r w:rsidRPr="002E4112">
              <w:t>exercises, case studies and/or other simulations</w:t>
            </w:r>
          </w:p>
          <w:p w:rsidR="00000000" w:rsidRPr="002E4112" w:rsidP="002E4112">
            <w:pPr>
              <w:pStyle w:val="ListBullet"/>
            </w:pPr>
            <w:r w:rsidRPr="002E4112">
              <w:t>materials, tools and equipment used in industry</w:t>
            </w:r>
          </w:p>
          <w:p w:rsidR="00000000" w:rsidRPr="002E4112" w:rsidP="002E4112">
            <w:pPr>
              <w:pStyle w:val="ListBullet"/>
            </w:pPr>
            <w:r w:rsidRPr="002E4112">
              <w:t>documentation including organisational policies and procedures, industry standards, regulations, codes of practice, operati</w:t>
            </w:r>
            <w:r w:rsidRPr="002E4112">
              <w:t>onal manuals and equipment specifications.</w:t>
            </w:r>
            <w:r w:rsidRPr="002E4112">
              <w:tab/>
            </w:r>
          </w:p>
        </w:tc>
      </w:tr>
    </w:tbl>
    <w:p w:rsidR="00000000" w:rsidRPr="002E4112" w:rsidP="002E4112">
      <w:pPr>
        <w:pStyle w:val="NoPaddingFontSize1"/>
      </w:pPr>
    </w:p>
    <w:p w:rsidR="00000000" w:rsidRPr="002E4112" w:rsidP="002E4112">
      <w:pPr>
        <w:pStyle w:val="AllowPageBreak"/>
      </w:pPr>
    </w:p>
    <w:p w:rsidR="00000000" w:rsidRPr="002E4112" w:rsidP="002E4112">
      <w:pPr>
        <w:pStyle w:val="Heading1"/>
      </w:pPr>
      <w:bookmarkStart w:id="5" w:name="O_1066440"/>
      <w:bookmarkEnd w:id="5"/>
      <w:r w:rsidRPr="002E4112">
        <w:t>Links</w:t>
      </w:r>
    </w:p>
    <w:p w:rsidR="00000000" w:rsidRPr="002E4112" w:rsidP="00F44E91">
      <w:pPr>
        <w:pStyle w:val="BodyText"/>
      </w:pPr>
      <w:r w:rsidRPr="002E41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173D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E4112" w:rsidP="002E4112"/>
    <w:sectPr w:rsidSect="002E41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1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112" w:rsidRPr="00F44E91" w:rsidP="00F44E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1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E91" w:rsidP="002E41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4E91" w:rsidP="002E41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44E91" w:rsidP="002E41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1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E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4112" w:rsidRPr="00F44E91" w:rsidP="00F44E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1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E91" w:rsidRPr="002D2AF8" w:rsidP="002E41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TLIX0018X Monitor compliance in digital supply chains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44E91" w:rsidP="002E41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EAE8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4604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1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41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41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41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41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41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41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41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41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41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41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4112"/>
  </w:style>
  <w:style w:type="character" w:customStyle="1" w:styleId="Heading1Char">
    <w:name w:val="Heading 1 Char"/>
    <w:basedOn w:val="DefaultParagraphFont"/>
    <w:link w:val="Heading1"/>
    <w:rsid w:val="002E41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41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41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411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4112"/>
    <w:rPr>
      <w:b/>
      <w:spacing w:val="0"/>
    </w:rPr>
  </w:style>
  <w:style w:type="paragraph" w:customStyle="1" w:styleId="SuperHeading">
    <w:name w:val="SuperHeading"/>
    <w:basedOn w:val="Normal"/>
    <w:rsid w:val="002E41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41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E41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41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41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41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41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41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41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41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41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41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41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41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41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41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41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41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41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41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41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41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41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41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41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41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41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41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41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41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41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41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41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41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41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4112"/>
    <w:rPr>
      <w:i/>
    </w:rPr>
  </w:style>
  <w:style w:type="paragraph" w:styleId="Caption">
    <w:name w:val="caption"/>
    <w:basedOn w:val="BodyText"/>
    <w:next w:val="Normal"/>
    <w:qFormat/>
    <w:rsid w:val="002E41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41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41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4112"/>
  </w:style>
  <w:style w:type="paragraph" w:styleId="TableofFigures">
    <w:name w:val="table of figures"/>
    <w:basedOn w:val="Normal"/>
    <w:next w:val="Normal"/>
    <w:semiHidden/>
    <w:rsid w:val="002E41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41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4112"/>
    <w:rPr>
      <w:rFonts w:ascii="Wingdings" w:hAnsi="Wingdings"/>
    </w:rPr>
  </w:style>
  <w:style w:type="paragraph" w:customStyle="1" w:styleId="TableHeading">
    <w:name w:val="Table Heading"/>
    <w:basedOn w:val="HeadingBase"/>
    <w:rsid w:val="002E41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4112"/>
    <w:rPr>
      <w:color w:val="0033CC"/>
      <w:u w:val="none"/>
    </w:rPr>
  </w:style>
  <w:style w:type="paragraph" w:customStyle="1" w:styleId="BodyTextRight">
    <w:name w:val="Body Text Right"/>
    <w:basedOn w:val="BodyText"/>
    <w:rsid w:val="002E41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41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41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41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41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41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4112"/>
    <w:rPr>
      <w:sz w:val="32"/>
    </w:rPr>
  </w:style>
  <w:style w:type="paragraph" w:customStyle="1" w:styleId="HeadingProcedure">
    <w:name w:val="Heading Procedure"/>
    <w:basedOn w:val="HeadingBase"/>
    <w:next w:val="Normal"/>
    <w:rsid w:val="002E41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4112"/>
    <w:pPr>
      <w:spacing w:before="60" w:after="60"/>
    </w:pPr>
  </w:style>
  <w:style w:type="paragraph" w:styleId="ListContinue">
    <w:name w:val="List Continue"/>
    <w:basedOn w:val="List"/>
    <w:rsid w:val="002E4112"/>
    <w:pPr>
      <w:ind w:firstLine="0"/>
    </w:pPr>
  </w:style>
  <w:style w:type="paragraph" w:customStyle="1" w:styleId="ListNote">
    <w:name w:val="List Note"/>
    <w:basedOn w:val="List"/>
    <w:rsid w:val="002E41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41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41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4112"/>
    <w:rPr>
      <w:rFonts w:ascii="Courier New" w:hAnsi="Courier New"/>
    </w:rPr>
  </w:style>
  <w:style w:type="paragraph" w:customStyle="1" w:styleId="NoteBullet">
    <w:name w:val="Note Bullet"/>
    <w:basedOn w:val="Note"/>
    <w:rsid w:val="002E41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41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41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41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41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41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41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4112"/>
    <w:rPr>
      <w:b/>
      <w:smallCaps/>
    </w:rPr>
  </w:style>
  <w:style w:type="paragraph" w:customStyle="1" w:styleId="TableListNumber">
    <w:name w:val="Table List Number"/>
    <w:basedOn w:val="ListNumber"/>
    <w:rsid w:val="002E41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41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4112"/>
    <w:pPr>
      <w:numPr>
        <w:numId w:val="8"/>
      </w:numPr>
    </w:pPr>
  </w:style>
  <w:style w:type="paragraph" w:customStyle="1" w:styleId="ListAlpha2">
    <w:name w:val="List Alpha 2"/>
    <w:basedOn w:val="List2"/>
    <w:rsid w:val="002E4112"/>
    <w:pPr>
      <w:numPr>
        <w:numId w:val="7"/>
      </w:numPr>
    </w:pPr>
  </w:style>
  <w:style w:type="paragraph" w:styleId="List2">
    <w:name w:val="List 2"/>
    <w:basedOn w:val="BodyText"/>
    <w:rsid w:val="002E41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41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41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41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41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41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4112"/>
    <w:pPr>
      <w:numPr>
        <w:numId w:val="3"/>
      </w:numPr>
    </w:pPr>
  </w:style>
  <w:style w:type="paragraph" w:styleId="ListContinue2">
    <w:name w:val="List Continue 2"/>
    <w:basedOn w:val="List2"/>
    <w:rsid w:val="002E4112"/>
    <w:pPr>
      <w:ind w:firstLine="0"/>
    </w:pPr>
  </w:style>
  <w:style w:type="paragraph" w:styleId="ListContinue3">
    <w:name w:val="List Continue 3"/>
    <w:basedOn w:val="List3"/>
    <w:rsid w:val="002E4112"/>
    <w:pPr>
      <w:ind w:left="1021" w:firstLine="0"/>
    </w:pPr>
  </w:style>
  <w:style w:type="paragraph" w:styleId="ListContinue4">
    <w:name w:val="List Continue 4"/>
    <w:basedOn w:val="List4"/>
    <w:rsid w:val="002E4112"/>
    <w:pPr>
      <w:ind w:firstLine="0"/>
    </w:pPr>
  </w:style>
  <w:style w:type="paragraph" w:styleId="ListContinue5">
    <w:name w:val="List Continue 5"/>
    <w:basedOn w:val="List5"/>
    <w:rsid w:val="002E4112"/>
    <w:pPr>
      <w:ind w:firstLine="0"/>
    </w:pPr>
  </w:style>
  <w:style w:type="paragraph" w:styleId="ListNumber3">
    <w:name w:val="List Number 3"/>
    <w:basedOn w:val="List3"/>
    <w:rsid w:val="002E4112"/>
    <w:pPr>
      <w:numPr>
        <w:numId w:val="4"/>
      </w:numPr>
    </w:pPr>
  </w:style>
  <w:style w:type="paragraph" w:styleId="ListNumber4">
    <w:name w:val="List Number 4"/>
    <w:basedOn w:val="List4"/>
    <w:rsid w:val="002E4112"/>
    <w:pPr>
      <w:numPr>
        <w:numId w:val="5"/>
      </w:numPr>
    </w:pPr>
  </w:style>
  <w:style w:type="paragraph" w:styleId="ListNumber5">
    <w:name w:val="List Number 5"/>
    <w:basedOn w:val="List5"/>
    <w:rsid w:val="002E4112"/>
    <w:pPr>
      <w:numPr>
        <w:numId w:val="6"/>
      </w:numPr>
    </w:pPr>
  </w:style>
  <w:style w:type="paragraph" w:styleId="BlockText">
    <w:name w:val="Block Text"/>
    <w:basedOn w:val="Normal"/>
    <w:rsid w:val="002E41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41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4112"/>
    <w:rPr>
      <w:sz w:val="16"/>
      <w:vertAlign w:val="superscript"/>
    </w:rPr>
  </w:style>
  <w:style w:type="character" w:customStyle="1" w:styleId="Symbols">
    <w:name w:val="Symbols"/>
    <w:basedOn w:val="DefaultParagraphFont"/>
    <w:rsid w:val="002E4112"/>
    <w:rPr>
      <w:rFonts w:ascii="Symbol" w:hAnsi="Symbol"/>
    </w:rPr>
  </w:style>
  <w:style w:type="character" w:customStyle="1" w:styleId="MenuOptions">
    <w:name w:val="Menu Options"/>
    <w:basedOn w:val="DefaultParagraphFont"/>
    <w:rsid w:val="002E41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4112"/>
    <w:rPr>
      <w:b/>
    </w:rPr>
  </w:style>
  <w:style w:type="character" w:customStyle="1" w:styleId="Underlined">
    <w:name w:val="Underlined"/>
    <w:basedOn w:val="DefaultParagraphFont"/>
    <w:rsid w:val="002E4112"/>
    <w:rPr>
      <w:u w:val="single"/>
    </w:rPr>
  </w:style>
  <w:style w:type="paragraph" w:customStyle="1" w:styleId="TableBodyTextRight">
    <w:name w:val="Table Body Text Right"/>
    <w:basedOn w:val="TableBodyText"/>
    <w:rsid w:val="002E41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4112"/>
    <w:rPr>
      <w:sz w:val="18"/>
    </w:rPr>
  </w:style>
  <w:style w:type="paragraph" w:customStyle="1" w:styleId="BodySmallRight">
    <w:name w:val="Body Small Right"/>
    <w:basedOn w:val="BodyTextRight"/>
    <w:rsid w:val="002E4112"/>
    <w:rPr>
      <w:sz w:val="18"/>
      <w:szCs w:val="18"/>
    </w:rPr>
  </w:style>
  <w:style w:type="paragraph" w:customStyle="1" w:styleId="MarginEdition">
    <w:name w:val="Margin Edition"/>
    <w:basedOn w:val="MarginNote"/>
    <w:rsid w:val="002E41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4112"/>
    <w:rPr>
      <w:sz w:val="2"/>
      <w:szCs w:val="2"/>
    </w:rPr>
  </w:style>
  <w:style w:type="character" w:customStyle="1" w:styleId="Small">
    <w:name w:val="Small"/>
    <w:basedOn w:val="DefaultParagraphFont"/>
    <w:rsid w:val="002E4112"/>
    <w:rPr>
      <w:sz w:val="16"/>
    </w:rPr>
  </w:style>
  <w:style w:type="paragraph" w:customStyle="1" w:styleId="WideTable">
    <w:name w:val="Wide Table"/>
    <w:basedOn w:val="Normal"/>
    <w:rsid w:val="002E41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4112"/>
  </w:style>
  <w:style w:type="paragraph" w:styleId="Quote">
    <w:name w:val="Quote"/>
    <w:basedOn w:val="Heading1"/>
    <w:link w:val="QuoteChar"/>
    <w:qFormat/>
    <w:rsid w:val="002E41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41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4112"/>
    <w:pPr>
      <w:pageBreakBefore/>
    </w:pPr>
  </w:style>
  <w:style w:type="paragraph" w:customStyle="1" w:styleId="Border">
    <w:name w:val="Border"/>
    <w:basedOn w:val="Normal"/>
    <w:qFormat/>
    <w:rsid w:val="002E41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41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41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41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41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41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41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41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41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4112"/>
    <w:rPr>
      <w:u w:val="single"/>
    </w:rPr>
  </w:style>
  <w:style w:type="character" w:customStyle="1" w:styleId="BoldandItalics">
    <w:name w:val="Bold and Italics"/>
    <w:qFormat/>
    <w:rsid w:val="002E4112"/>
    <w:rPr>
      <w:b/>
      <w:i/>
      <w:u w:val="none"/>
    </w:rPr>
  </w:style>
  <w:style w:type="paragraph" w:styleId="BalloonText">
    <w:name w:val="Balloon Text"/>
    <w:basedOn w:val="Normal"/>
    <w:link w:val="BalloonTextChar"/>
    <w:rsid w:val="002E41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41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41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41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41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41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4112"/>
    <w:pPr>
      <w:spacing w:before="0" w:after="0"/>
    </w:pPr>
  </w:style>
  <w:style w:type="paragraph" w:customStyle="1" w:styleId="BodyTextBold">
    <w:name w:val="Body Text Bold"/>
    <w:basedOn w:val="BodyText"/>
    <w:qFormat/>
    <w:rsid w:val="002E4112"/>
    <w:rPr>
      <w:b/>
    </w:rPr>
  </w:style>
  <w:style w:type="character" w:styleId="Hyperlink">
    <w:name w:val="Hyperlink"/>
    <w:basedOn w:val="DefaultParagraphFont"/>
    <w:uiPriority w:val="99"/>
    <w:unhideWhenUsed/>
    <w:rsid w:val="00F44E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524</Words>
  <Characters>3590</Characters>
  <Application>Microsoft Office Word</Application>
  <DocSecurity>0</DocSecurity>
  <Lines>79</Lines>
  <Paragraphs>62</Paragraphs>
  <ScaleCrop>false</ScaleCrop>
  <Company>Author-it Software Corporation Ltd.</Company>
  <LinksUpToDate>false</LinksUpToDate>
  <CharactersWithSpaces>4052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TLIX0018X Monitor compliance in digital supply chains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2024-07-12T07:20:00Z</dcterms:created>
  <dcterms:modified xsi:type="dcterms:W3CDTF">2024-07-12T07:20:00Z</dcterms:modified>
</cp:coreProperties>
</file>