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01BE" w:rsidP="009A01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TLIX0015X Manage fundamental aspects of supply chains</w:t>
      </w:r>
      <w:r>
        <w:fldChar w:fldCharType="end"/>
      </w:r>
    </w:p>
    <w:p w:rsidR="009A01BE" w:rsidP="009A01BE">
      <w:pPr>
        <w:pStyle w:val="Version"/>
        <w:sectPr w:rsidSect="009C67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674A" w:rsidP="009C674A">
      <w:pPr>
        <w:pStyle w:val="SuperHeading"/>
      </w:pPr>
      <w:r w:rsidRPr="009C674A">
        <w:t>TLIX0015X Manage fundamental aspects of supply chains</w:t>
      </w:r>
    </w:p>
    <w:p w:rsidR="00000000" w:rsidRPr="009C674A" w:rsidP="009C674A">
      <w:pPr>
        <w:pStyle w:val="Heading1"/>
      </w:pPr>
      <w:bookmarkStart w:id="1" w:name="O_1066367"/>
      <w:bookmarkEnd w:id="1"/>
      <w:r w:rsidRPr="009C674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7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 w:rsidP="009C674A">
            <w:pPr>
              <w:pStyle w:val="BodyText"/>
            </w:pPr>
            <w:r w:rsidRPr="009C674A">
              <w:rPr>
                <w:rStyle w:val="SpecialBold"/>
              </w:rPr>
              <w:t>Release 1.</w:t>
            </w:r>
            <w:r w:rsidRPr="009C674A">
              <w:t xml:space="preserve"> This is the first release of this unit of competency in the TLI Transport and Logistics Training Package.</w:t>
            </w:r>
          </w:p>
        </w:tc>
      </w:tr>
    </w:tbl>
    <w:p w:rsidR="00000000" w:rsidRPr="009C674A" w:rsidP="009C674A">
      <w:pPr>
        <w:pStyle w:val="NoPaddingFontSize1"/>
      </w:pPr>
    </w:p>
    <w:p w:rsidR="00000000" w:rsidRPr="009C674A" w:rsidP="009C674A">
      <w:pPr>
        <w:pStyle w:val="AllowPageBreak"/>
      </w:pPr>
    </w:p>
    <w:p w:rsidR="00000000" w:rsidRPr="009C674A" w:rsidP="009C674A">
      <w:pPr>
        <w:pStyle w:val="Heading1"/>
      </w:pPr>
      <w:bookmarkStart w:id="2" w:name="O_1066368"/>
      <w:bookmarkEnd w:id="2"/>
      <w:r w:rsidRPr="009C674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7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 w:rsidP="009C674A">
            <w:pPr>
              <w:pStyle w:val="BodyText"/>
            </w:pPr>
            <w:r w:rsidRPr="009C674A">
              <w:t>This unit of competency describes the skills and knowledge required</w:t>
            </w:r>
            <w:r w:rsidRPr="009C674A">
              <w:t xml:space="preserve"> to work with the fundamental aspects of supply chains. It includes determining fundamental aspects, monitoring fundamental aspects, implementing continuous improvement strategies and reporting on fundamental aspects.</w:t>
            </w:r>
          </w:p>
          <w:p w:rsidR="00000000" w:rsidRPr="009C674A" w:rsidP="009C674A">
            <w:pPr>
              <w:pStyle w:val="BodyText"/>
            </w:pPr>
            <w:r w:rsidRPr="009C674A">
              <w:t xml:space="preserve">Fundamental aspects of a supply chain </w:t>
            </w:r>
            <w:r w:rsidRPr="009C674A">
              <w:t>includes all activities that relate to the integration, operation, purchasing and distribution of products and goods that are critical to the success of a business. Failure to manage the fundamental aspects of a supply chain can have a significant impact o</w:t>
            </w:r>
            <w:r w:rsidRPr="009C674A">
              <w:t>n the ability of a business to survive in the market place.</w:t>
            </w:r>
          </w:p>
          <w:p w:rsidR="00000000" w:rsidRPr="009C674A" w:rsidP="009C674A">
            <w:pPr>
              <w:pStyle w:val="BodyText"/>
            </w:pPr>
            <w:r w:rsidRPr="009C674A">
              <w:t xml:space="preserve">The unit is applicable to individuals working in supply chain management roles. Typically, they will work independently and perform complex tasks in a range of familiar and unfamiliar contexts. </w:t>
            </w:r>
          </w:p>
          <w:p w:rsidR="00000000" w:rsidRPr="009C674A" w:rsidP="009C674A">
            <w:pPr>
              <w:pStyle w:val="BodyText"/>
            </w:pPr>
            <w:r w:rsidRPr="009C674A">
              <w:t>N</w:t>
            </w:r>
            <w:r w:rsidRPr="009C674A">
              <w:t>o licensing, legislative or certification requirements apply to this unit of competency at the time of publication.</w:t>
            </w:r>
          </w:p>
        </w:tc>
      </w:tr>
    </w:tbl>
    <w:p w:rsidR="00000000" w:rsidRPr="009C674A" w:rsidP="009C674A">
      <w:pPr>
        <w:pStyle w:val="NoPaddingFontSize1"/>
      </w:pPr>
    </w:p>
    <w:p w:rsidR="00000000" w:rsidRPr="009C674A" w:rsidP="009C674A">
      <w:pPr>
        <w:pStyle w:val="AllowPageBreak"/>
      </w:pPr>
    </w:p>
    <w:p w:rsidR="00000000" w:rsidRPr="009C674A" w:rsidP="009C674A">
      <w:pPr>
        <w:pStyle w:val="Heading1"/>
      </w:pPr>
      <w:bookmarkStart w:id="3" w:name="O_1066369"/>
      <w:bookmarkEnd w:id="3"/>
      <w:r w:rsidRPr="009C674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7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 w:rsidP="009C674A">
            <w:pPr>
              <w:pStyle w:val="BodyText"/>
            </w:pPr>
            <w:r w:rsidRPr="009C674A">
              <w:t>Not applicable</w:t>
            </w:r>
          </w:p>
        </w:tc>
      </w:tr>
    </w:tbl>
    <w:p w:rsidR="00000000" w:rsidRPr="009C674A" w:rsidP="009C674A">
      <w:pPr>
        <w:pStyle w:val="NoPaddingFontSize1"/>
      </w:pPr>
    </w:p>
    <w:p w:rsidR="00000000" w:rsidRPr="009C674A" w:rsidP="009C674A">
      <w:pPr>
        <w:pStyle w:val="AllowPageBreak"/>
      </w:pPr>
    </w:p>
    <w:p w:rsidR="00000000" w:rsidRPr="009C674A" w:rsidP="009C674A">
      <w:pPr>
        <w:pStyle w:val="Heading1"/>
      </w:pPr>
      <w:bookmarkStart w:id="4" w:name="O_1066370"/>
      <w:bookmarkEnd w:id="4"/>
      <w:r w:rsidRPr="009C674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7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 w:rsidP="009C674A">
            <w:pPr>
              <w:pStyle w:val="BodyText"/>
            </w:pPr>
            <w:r w:rsidRPr="009C674A">
              <w:t>X - Logistics</w:t>
            </w:r>
          </w:p>
        </w:tc>
      </w:tr>
    </w:tbl>
    <w:p w:rsidR="00000000" w:rsidRPr="009C674A" w:rsidP="009C674A">
      <w:pPr>
        <w:pStyle w:val="NoPaddingFontSize1"/>
      </w:pPr>
    </w:p>
    <w:p w:rsidR="00000000" w:rsidRPr="009C674A" w:rsidP="009C674A">
      <w:pPr>
        <w:pStyle w:val="AllowPageBreak"/>
      </w:pPr>
    </w:p>
    <w:p w:rsidR="00000000" w:rsidRPr="009C674A" w:rsidP="009C674A">
      <w:pPr>
        <w:pStyle w:val="Heading1"/>
      </w:pPr>
      <w:bookmarkStart w:id="5" w:name="O_1066371"/>
      <w:bookmarkEnd w:id="5"/>
      <w:r w:rsidRPr="009C674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7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 w:rsidP="009C674A">
            <w:pPr>
              <w:pStyle w:val="BodyText"/>
            </w:pPr>
            <w:r w:rsidRPr="009C674A">
              <w:t>Cross sector</w:t>
            </w:r>
          </w:p>
        </w:tc>
      </w:tr>
    </w:tbl>
    <w:p w:rsidR="00000000" w:rsidRPr="009C674A" w:rsidP="009C674A">
      <w:pPr>
        <w:pStyle w:val="NoPaddingFontSize1"/>
      </w:pPr>
    </w:p>
    <w:p w:rsidR="00000000" w:rsidRPr="009C674A" w:rsidP="009C674A">
      <w:pPr>
        <w:pStyle w:val="AllowPageBreak"/>
      </w:pPr>
    </w:p>
    <w:p w:rsidR="00000000" w:rsidRPr="009C674A" w:rsidP="009C674A">
      <w:pPr>
        <w:pStyle w:val="Heading1"/>
      </w:pPr>
      <w:bookmarkStart w:id="6" w:name="O_1066372"/>
      <w:bookmarkEnd w:id="6"/>
      <w:r w:rsidRPr="009C67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39"/>
        <w:gridCol w:w="638"/>
        <w:gridCol w:w="5259"/>
      </w:tblGrid>
      <w:tr w:rsidTr="009C6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 w:rsidP="009C674A">
            <w:pPr>
              <w:pStyle w:val="BodyText"/>
            </w:pPr>
            <w:r w:rsidRPr="009C674A">
              <w:rPr>
                <w:rStyle w:val="SpecialBold"/>
              </w:rPr>
              <w:t>ELEMENTS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rPr>
                <w:rStyle w:val="SpecialBold"/>
              </w:rPr>
              <w:t>PERFORMANCE CRITERIA</w:t>
            </w:r>
          </w:p>
        </w:tc>
      </w:tr>
      <w:tr w:rsidTr="009C6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t>Elements describe the essential outcomes.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t>Performance criteria describe the performance needed to demonstrate achievement of the element.</w:t>
            </w:r>
          </w:p>
        </w:tc>
      </w:tr>
      <w:tr w:rsidTr="009C6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 w:rsidP="009C674A">
            <w:pPr>
              <w:pStyle w:val="BodyText"/>
            </w:pPr>
            <w:r w:rsidRPr="009C674A">
              <w:rPr>
                <w:rStyle w:val="SpecialBold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 w:rsidP="009C674A">
            <w:pPr>
              <w:pStyle w:val="BodyText"/>
            </w:pPr>
            <w:r w:rsidRPr="009C674A">
              <w:rPr>
                <w:rStyle w:val="SpecialBold"/>
              </w:rPr>
              <w:t xml:space="preserve">Determine fundamental aspects 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rPr>
                <w:rStyle w:val="SpecialBold"/>
              </w:rPr>
              <w:t>1.1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t xml:space="preserve">Status of fundamental aspects of the supply chain are verified </w:t>
            </w:r>
          </w:p>
        </w:tc>
      </w:tr>
      <w:tr w:rsidTr="009C6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rPr>
                <w:rStyle w:val="SpecialBold"/>
              </w:rPr>
              <w:t>1.2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t>Key Performance Indicators (KPIs) for fundamental aspects are identified from strategic supply chain documentation</w:t>
            </w:r>
          </w:p>
        </w:tc>
      </w:tr>
      <w:tr w:rsidTr="009C6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rPr>
                <w:rStyle w:val="SpecialBold"/>
              </w:rPr>
              <w:t>1.3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t>Supply chain planning and forecasting requirements are determined</w:t>
            </w:r>
          </w:p>
        </w:tc>
      </w:tr>
      <w:tr w:rsidTr="009C6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rPr>
                <w:rStyle w:val="SpecialBold"/>
              </w:rPr>
              <w:t>1.4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t xml:space="preserve">Vulnerabilities and opportunities in the supply chain are identified </w:t>
            </w:r>
          </w:p>
        </w:tc>
      </w:tr>
      <w:tr w:rsidTr="009C6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rPr>
                <w:rStyle w:val="SpecialBold"/>
              </w:rPr>
              <w:t>1.5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t xml:space="preserve">Digital systems and applications used to support fundamental aspects of the supply chain are confirmed </w:t>
            </w:r>
          </w:p>
        </w:tc>
      </w:tr>
      <w:tr w:rsidTr="009C6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rPr>
                <w:rStyle w:val="SpecialBold"/>
              </w:rPr>
              <w:t>1.6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t xml:space="preserve">Supply chain stakeholders are identified </w:t>
            </w:r>
          </w:p>
        </w:tc>
      </w:tr>
      <w:tr w:rsidTr="009C6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rPr>
                <w:rStyle w:val="SpecialBold"/>
              </w:rPr>
              <w:t>1.7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t xml:space="preserve">Level of authority for performance in the supply chain is verified  </w:t>
            </w:r>
          </w:p>
        </w:tc>
      </w:tr>
      <w:tr w:rsidTr="009C6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 w:rsidP="009C674A">
            <w:pPr>
              <w:pStyle w:val="BodyText"/>
            </w:pPr>
            <w:r w:rsidRPr="009C674A">
              <w:rPr>
                <w:rStyle w:val="SpecialBold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 w:rsidP="009C674A">
            <w:pPr>
              <w:pStyle w:val="BodyText"/>
            </w:pPr>
            <w:r w:rsidRPr="009C674A">
              <w:rPr>
                <w:rStyle w:val="SpecialBold"/>
              </w:rPr>
              <w:t xml:space="preserve">Monitor fundamental aspects 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rPr>
                <w:rStyle w:val="SpecialBold"/>
              </w:rPr>
              <w:t>2.1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t>Communication channels and strategies to engage supply chain stakeholders are reviewed</w:t>
            </w:r>
          </w:p>
        </w:tc>
      </w:tr>
      <w:tr w:rsidTr="009C6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rPr>
                <w:rStyle w:val="SpecialBold"/>
              </w:rPr>
              <w:t>2.2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t>Supply chain operations and outcomes are evaluated and actions to reduce vulnerabilities and achieve better value for money are developed</w:t>
            </w:r>
          </w:p>
        </w:tc>
      </w:tr>
      <w:tr w:rsidTr="009C6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rPr>
                <w:rStyle w:val="SpecialBold"/>
              </w:rPr>
              <w:t>2.3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t>Supplier capacity and capability is examined, in accordance with supply chain procedures, to ensure customer re</w:t>
            </w:r>
            <w:r w:rsidRPr="009C674A">
              <w:t>quirements are being met</w:t>
            </w:r>
          </w:p>
        </w:tc>
      </w:tr>
      <w:tr w:rsidTr="009C6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rPr>
                <w:rStyle w:val="SpecialBold"/>
              </w:rPr>
              <w:t>2.4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t xml:space="preserve">Stakeholder relationships are monitored, in accordance with supply chain procedures </w:t>
            </w:r>
          </w:p>
        </w:tc>
      </w:tr>
      <w:tr w:rsidTr="009C6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rPr>
                <w:rStyle w:val="SpecialBold"/>
              </w:rPr>
              <w:t>2.5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t xml:space="preserve">Supply chain purchasing channels and distribution outcomes are monitored, in accordance with supply chain procedures </w:t>
            </w:r>
          </w:p>
        </w:tc>
      </w:tr>
      <w:tr w:rsidTr="009C6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rPr>
                <w:rStyle w:val="SpecialBold"/>
              </w:rPr>
              <w:t>2.6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t xml:space="preserve">Legal, ethical, environmental, corporate social  responsibility principles and sustainability issues are addressed, in accordance with supply chain policies and procedures  </w:t>
            </w:r>
          </w:p>
        </w:tc>
      </w:tr>
      <w:tr w:rsidTr="009C6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rPr>
                <w:rStyle w:val="SpecialBold"/>
              </w:rPr>
              <w:t>2.7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t>Supply chain risks are managed and alternative strategies are developed, as</w:t>
            </w:r>
            <w:r w:rsidRPr="009C674A">
              <w:t xml:space="preserve"> required </w:t>
            </w:r>
          </w:p>
        </w:tc>
      </w:tr>
      <w:tr w:rsidTr="009C6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 w:rsidP="009C674A">
            <w:pPr>
              <w:pStyle w:val="BodyText"/>
            </w:pPr>
            <w:r w:rsidRPr="009C674A">
              <w:rPr>
                <w:rStyle w:val="SpecialBold"/>
              </w:rPr>
              <w:t>3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 w:rsidP="009C674A">
            <w:pPr>
              <w:pStyle w:val="BodyText"/>
            </w:pPr>
            <w:r w:rsidRPr="009C674A">
              <w:rPr>
                <w:rStyle w:val="SpecialBold"/>
              </w:rPr>
              <w:t xml:space="preserve">Implement continuous </w:t>
            </w:r>
            <w:r w:rsidRPr="009C674A">
              <w:rPr>
                <w:rStyle w:val="SpecialBold"/>
              </w:rPr>
              <w:t>improvement strategies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rPr>
                <w:rStyle w:val="SpecialBold"/>
              </w:rPr>
              <w:t>3.1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t xml:space="preserve">Supply chain performance is baselined and measured against recognised industry benchmarks using </w:t>
            </w:r>
            <w:r w:rsidRPr="009C674A">
              <w:t>approved methods and tools</w:t>
            </w:r>
          </w:p>
        </w:tc>
      </w:tr>
      <w:tr w:rsidTr="009C6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rPr>
                <w:rStyle w:val="SpecialBold"/>
              </w:rPr>
              <w:t>3.2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t xml:space="preserve">Supply chain flows and KPIs are examined to ensure fundamental aspects of the supply chain are working cohesively </w:t>
            </w:r>
          </w:p>
        </w:tc>
      </w:tr>
      <w:tr w:rsidTr="009C6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rPr>
                <w:rStyle w:val="SpecialBold"/>
              </w:rPr>
              <w:t>3.3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t>Stakeholder feedback is analysed to measure satisfaction</w:t>
            </w:r>
          </w:p>
        </w:tc>
      </w:tr>
      <w:tr w:rsidTr="009C6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rPr>
                <w:rStyle w:val="SpecialBold"/>
              </w:rPr>
              <w:t>3.4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t>Data on supply chain discrepancies and inconsistencies is analysed and</w:t>
            </w:r>
            <w:r w:rsidRPr="009C674A">
              <w:t xml:space="preserve"> remediation actions are implemented</w:t>
            </w:r>
          </w:p>
        </w:tc>
      </w:tr>
      <w:tr w:rsidTr="009C6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rPr>
                <w:rStyle w:val="SpecialBold"/>
              </w:rPr>
              <w:t>3.5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t xml:space="preserve">Digital systems and applications in the supply chain are reviewed for effectiveness </w:t>
            </w:r>
          </w:p>
        </w:tc>
      </w:tr>
      <w:tr w:rsidTr="009C6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 w:rsidP="009C674A">
            <w:pPr>
              <w:pStyle w:val="BodyText"/>
            </w:pPr>
            <w:r w:rsidRPr="009C674A">
              <w:rPr>
                <w:rStyle w:val="SpecialBold"/>
              </w:rPr>
              <w:t>4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 w:rsidP="009C674A">
            <w:pPr>
              <w:pStyle w:val="BodyText"/>
            </w:pPr>
            <w:r w:rsidRPr="009C674A">
              <w:rPr>
                <w:rStyle w:val="SpecialBold"/>
              </w:rPr>
              <w:t xml:space="preserve">Report on fundamental aspects 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rPr>
                <w:rStyle w:val="SpecialBold"/>
              </w:rPr>
              <w:t>4.1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t>Trends and challenges in fundamental aspects of the supply chain are identified and reviewed, in accordance with supply chain procedures</w:t>
            </w:r>
          </w:p>
        </w:tc>
      </w:tr>
      <w:tr w:rsidTr="009C6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rPr>
                <w:rStyle w:val="SpecialBold"/>
              </w:rPr>
              <w:t>4.2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t>Strategies that support continuous improvement of fundamental aspects are evaluated and recommendations for impr</w:t>
            </w:r>
            <w:r w:rsidRPr="009C674A">
              <w:t>ovement are developed</w:t>
            </w:r>
          </w:p>
        </w:tc>
      </w:tr>
      <w:tr w:rsidTr="009C6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74A">
            <w:pPr>
              <w:pStyle w:val="BodyText"/>
              <w:rPr>
                <w:lang w:val="en-NZ"/>
              </w:rPr>
            </w:pPr>
            <w:r w:rsidRPr="009C674A">
              <w:rPr>
                <w:rStyle w:val="SpecialBold"/>
              </w:rPr>
              <w:t>4.3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 w:rsidP="009C674A">
            <w:pPr>
              <w:pStyle w:val="BodyText"/>
            </w:pPr>
            <w:r w:rsidRPr="009C674A">
              <w:t xml:space="preserve">Report on continuous improvement actions is prepared and disseminated to approved stakeholders </w:t>
            </w:r>
          </w:p>
        </w:tc>
      </w:tr>
    </w:tbl>
    <w:p w:rsidR="009A01BE" w:rsidP="009C674A">
      <w:pPr>
        <w:pStyle w:val="BodyText"/>
      </w:pPr>
    </w:p>
    <w:p w:rsidR="009A01BE" w:rsidP="009C674A">
      <w:pPr>
        <w:pStyle w:val="BodyText"/>
      </w:pPr>
    </w:p>
    <w:p w:rsidR="00000000" w:rsidRPr="009C674A" w:rsidP="009C674A">
      <w:pPr>
        <w:pStyle w:val="Heading1"/>
      </w:pPr>
      <w:bookmarkStart w:id="7" w:name="O_1066373"/>
      <w:bookmarkEnd w:id="7"/>
      <w:r w:rsidRPr="009C674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7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 w:rsidP="009C674A">
            <w:pPr>
              <w:pStyle w:val="BodyText"/>
            </w:pPr>
            <w:r w:rsidRPr="009C674A">
              <w:t>Foundation skills essential to performance are explicit in the performance criteria of this</w:t>
            </w:r>
            <w:r w:rsidRPr="009C674A">
              <w:t xml:space="preserve"> unit of competency.</w:t>
            </w:r>
          </w:p>
        </w:tc>
      </w:tr>
    </w:tbl>
    <w:p w:rsidR="00000000" w:rsidRPr="009C674A" w:rsidP="009C674A">
      <w:pPr>
        <w:pStyle w:val="NoPaddingFontSize1"/>
      </w:pPr>
    </w:p>
    <w:p w:rsidR="00000000" w:rsidRPr="009C674A" w:rsidP="009C674A">
      <w:pPr>
        <w:pStyle w:val="AllowPageBreak"/>
      </w:pPr>
    </w:p>
    <w:p w:rsidR="00000000" w:rsidRPr="009C674A" w:rsidP="009C674A">
      <w:pPr>
        <w:pStyle w:val="Heading1"/>
      </w:pPr>
      <w:bookmarkStart w:id="8" w:name="O_1066374"/>
      <w:bookmarkEnd w:id="8"/>
      <w:r w:rsidRPr="009C674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7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 w:rsidP="009C674A">
            <w:pPr>
              <w:pStyle w:val="BodyText"/>
            </w:pPr>
            <w:r w:rsidRPr="009C674A">
              <w:t>Range is restricted to essential operating conditions and any other variables essential to the work environment.</w:t>
            </w:r>
          </w:p>
          <w:p w:rsidR="00000000" w:rsidRPr="009C674A" w:rsidP="009C674A">
            <w:pPr>
              <w:pStyle w:val="BodyText"/>
            </w:pPr>
            <w:r w:rsidRPr="009C674A">
              <w:t>Non-essential conditions may be found in the Companion Volume Implementation Guide.</w:t>
            </w:r>
          </w:p>
        </w:tc>
      </w:tr>
    </w:tbl>
    <w:p w:rsidR="00000000" w:rsidRPr="009C674A" w:rsidP="009C674A">
      <w:pPr>
        <w:pStyle w:val="NoPaddingFontSize1"/>
      </w:pPr>
    </w:p>
    <w:p w:rsidR="00000000" w:rsidRPr="009C674A" w:rsidP="009C674A">
      <w:pPr>
        <w:pStyle w:val="AllowPageBreak"/>
      </w:pPr>
    </w:p>
    <w:p w:rsidR="00000000" w:rsidRPr="009C674A" w:rsidP="009C674A">
      <w:pPr>
        <w:pStyle w:val="Heading1"/>
      </w:pPr>
      <w:bookmarkStart w:id="9" w:name="O_1066375"/>
      <w:bookmarkEnd w:id="9"/>
      <w:r w:rsidRPr="009C674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67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74A" w:rsidP="009C674A">
            <w:pPr>
              <w:pStyle w:val="BodyText"/>
            </w:pPr>
            <w:r w:rsidRPr="009C674A">
              <w:t>This is a new unit. There is no equivalent unit.</w:t>
            </w:r>
          </w:p>
        </w:tc>
      </w:tr>
    </w:tbl>
    <w:p w:rsidR="00000000" w:rsidRPr="009C674A" w:rsidP="009C674A">
      <w:pPr>
        <w:pStyle w:val="NoPaddingFontSize1"/>
      </w:pPr>
    </w:p>
    <w:p w:rsidR="00000000" w:rsidRPr="009C674A" w:rsidP="009C674A">
      <w:pPr>
        <w:pStyle w:val="AllowPageBreak"/>
      </w:pPr>
    </w:p>
    <w:p w:rsidR="00000000" w:rsidRPr="009C674A" w:rsidP="009C674A">
      <w:pPr>
        <w:pStyle w:val="Heading1"/>
      </w:pPr>
      <w:bookmarkStart w:id="10" w:name="O_1066382"/>
      <w:bookmarkEnd w:id="10"/>
      <w:r w:rsidRPr="009C674A">
        <w:t>Links</w:t>
      </w:r>
    </w:p>
    <w:p w:rsidR="00000000" w:rsidRPr="009C674A" w:rsidP="009A01BE">
      <w:pPr>
        <w:pStyle w:val="BodyText"/>
      </w:pPr>
      <w:r w:rsidRPr="009C674A">
        <w:t>Companion Volume Implementation Guides are found i</w:t>
      </w:r>
      <w:r w:rsidRPr="009C674A">
        <w:t xml:space="preserve">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033F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C674A" w:rsidP="009C674A"/>
    <w:sectPr w:rsidSect="009C67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7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74A" w:rsidRPr="009A01BE" w:rsidP="009A01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7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1BE" w:rsidP="009C67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01BE" w:rsidP="009C67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A01BE" w:rsidP="009C67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7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1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674A" w:rsidRPr="009A01BE" w:rsidP="009A01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7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1BE" w:rsidRPr="002D2AF8" w:rsidP="009C67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TLIX0015X Manage fundamental aspects of supply chains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A01BE" w:rsidP="009C67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7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67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67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67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67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67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67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67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67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67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67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674A"/>
  </w:style>
  <w:style w:type="character" w:customStyle="1" w:styleId="Heading1Char">
    <w:name w:val="Heading 1 Char"/>
    <w:basedOn w:val="DefaultParagraphFont"/>
    <w:link w:val="Heading1"/>
    <w:rsid w:val="009C67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67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674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C674A"/>
    <w:rPr>
      <w:b/>
      <w:spacing w:val="0"/>
    </w:rPr>
  </w:style>
  <w:style w:type="paragraph" w:customStyle="1" w:styleId="SuperHeading">
    <w:name w:val="SuperHeading"/>
    <w:basedOn w:val="Normal"/>
    <w:rsid w:val="009C67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67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C67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67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67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67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67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67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67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67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67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67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67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67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67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67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67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67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67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67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67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674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67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67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67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67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674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67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67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67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67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67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67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67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67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67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674A"/>
    <w:rPr>
      <w:i/>
    </w:rPr>
  </w:style>
  <w:style w:type="paragraph" w:styleId="Caption">
    <w:name w:val="caption"/>
    <w:basedOn w:val="BodyText"/>
    <w:next w:val="Normal"/>
    <w:qFormat/>
    <w:rsid w:val="009C67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67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67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674A"/>
  </w:style>
  <w:style w:type="paragraph" w:styleId="TableofFigures">
    <w:name w:val="table of figures"/>
    <w:basedOn w:val="Normal"/>
    <w:next w:val="Normal"/>
    <w:semiHidden/>
    <w:rsid w:val="009C67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674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C674A"/>
    <w:rPr>
      <w:rFonts w:ascii="Wingdings" w:hAnsi="Wingdings"/>
    </w:rPr>
  </w:style>
  <w:style w:type="paragraph" w:customStyle="1" w:styleId="TableHeading">
    <w:name w:val="Table Heading"/>
    <w:basedOn w:val="HeadingBase"/>
    <w:rsid w:val="009C67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674A"/>
    <w:rPr>
      <w:color w:val="0033CC"/>
      <w:u w:val="none"/>
    </w:rPr>
  </w:style>
  <w:style w:type="paragraph" w:customStyle="1" w:styleId="BodyTextRight">
    <w:name w:val="Body Text Right"/>
    <w:basedOn w:val="BodyText"/>
    <w:rsid w:val="009C67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67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67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67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67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67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674A"/>
    <w:rPr>
      <w:sz w:val="32"/>
    </w:rPr>
  </w:style>
  <w:style w:type="paragraph" w:customStyle="1" w:styleId="HeadingProcedure">
    <w:name w:val="Heading Procedure"/>
    <w:basedOn w:val="HeadingBase"/>
    <w:next w:val="Normal"/>
    <w:rsid w:val="009C67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674A"/>
    <w:pPr>
      <w:spacing w:before="60" w:after="60"/>
    </w:pPr>
  </w:style>
  <w:style w:type="paragraph" w:styleId="ListContinue">
    <w:name w:val="List Continue"/>
    <w:basedOn w:val="List"/>
    <w:rsid w:val="009C674A"/>
    <w:pPr>
      <w:ind w:firstLine="0"/>
    </w:pPr>
  </w:style>
  <w:style w:type="paragraph" w:customStyle="1" w:styleId="ListNote">
    <w:name w:val="List Note"/>
    <w:basedOn w:val="List"/>
    <w:rsid w:val="009C67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67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67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674A"/>
    <w:rPr>
      <w:rFonts w:ascii="Courier New" w:hAnsi="Courier New"/>
    </w:rPr>
  </w:style>
  <w:style w:type="paragraph" w:customStyle="1" w:styleId="NoteBullet">
    <w:name w:val="Note Bullet"/>
    <w:basedOn w:val="Note"/>
    <w:rsid w:val="009C67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67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67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67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674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C67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67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674A"/>
    <w:rPr>
      <w:b/>
      <w:smallCaps/>
    </w:rPr>
  </w:style>
  <w:style w:type="paragraph" w:customStyle="1" w:styleId="TableListNumber">
    <w:name w:val="Table List Number"/>
    <w:basedOn w:val="ListNumber"/>
    <w:rsid w:val="009C67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67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674A"/>
    <w:pPr>
      <w:numPr>
        <w:numId w:val="7"/>
      </w:numPr>
    </w:pPr>
  </w:style>
  <w:style w:type="paragraph" w:customStyle="1" w:styleId="ListAlpha2">
    <w:name w:val="List Alpha 2"/>
    <w:basedOn w:val="List2"/>
    <w:rsid w:val="009C674A"/>
    <w:pPr>
      <w:numPr>
        <w:numId w:val="6"/>
      </w:numPr>
    </w:pPr>
  </w:style>
  <w:style w:type="paragraph" w:styleId="List2">
    <w:name w:val="List 2"/>
    <w:basedOn w:val="BodyText"/>
    <w:rsid w:val="009C67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67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67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67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674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674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C674A"/>
    <w:pPr>
      <w:numPr>
        <w:numId w:val="2"/>
      </w:numPr>
    </w:pPr>
  </w:style>
  <w:style w:type="paragraph" w:styleId="ListContinue2">
    <w:name w:val="List Continue 2"/>
    <w:basedOn w:val="List2"/>
    <w:rsid w:val="009C674A"/>
    <w:pPr>
      <w:ind w:firstLine="0"/>
    </w:pPr>
  </w:style>
  <w:style w:type="paragraph" w:styleId="ListContinue3">
    <w:name w:val="List Continue 3"/>
    <w:basedOn w:val="List3"/>
    <w:rsid w:val="009C674A"/>
    <w:pPr>
      <w:ind w:left="1021" w:firstLine="0"/>
    </w:pPr>
  </w:style>
  <w:style w:type="paragraph" w:styleId="ListContinue4">
    <w:name w:val="List Continue 4"/>
    <w:basedOn w:val="List4"/>
    <w:rsid w:val="009C674A"/>
    <w:pPr>
      <w:ind w:firstLine="0"/>
    </w:pPr>
  </w:style>
  <w:style w:type="paragraph" w:styleId="ListContinue5">
    <w:name w:val="List Continue 5"/>
    <w:basedOn w:val="List5"/>
    <w:rsid w:val="009C674A"/>
    <w:pPr>
      <w:ind w:firstLine="0"/>
    </w:pPr>
  </w:style>
  <w:style w:type="paragraph" w:styleId="ListNumber3">
    <w:name w:val="List Number 3"/>
    <w:basedOn w:val="List3"/>
    <w:rsid w:val="009C674A"/>
    <w:pPr>
      <w:numPr>
        <w:numId w:val="3"/>
      </w:numPr>
    </w:pPr>
  </w:style>
  <w:style w:type="paragraph" w:styleId="ListNumber4">
    <w:name w:val="List Number 4"/>
    <w:basedOn w:val="List4"/>
    <w:rsid w:val="009C674A"/>
    <w:pPr>
      <w:numPr>
        <w:numId w:val="4"/>
      </w:numPr>
    </w:pPr>
  </w:style>
  <w:style w:type="paragraph" w:styleId="ListNumber5">
    <w:name w:val="List Number 5"/>
    <w:basedOn w:val="List5"/>
    <w:rsid w:val="009C674A"/>
    <w:pPr>
      <w:numPr>
        <w:numId w:val="5"/>
      </w:numPr>
    </w:pPr>
  </w:style>
  <w:style w:type="paragraph" w:styleId="BlockText">
    <w:name w:val="Block Text"/>
    <w:basedOn w:val="Normal"/>
    <w:rsid w:val="009C67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67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674A"/>
    <w:rPr>
      <w:sz w:val="16"/>
      <w:vertAlign w:val="superscript"/>
    </w:rPr>
  </w:style>
  <w:style w:type="character" w:customStyle="1" w:styleId="Symbols">
    <w:name w:val="Symbols"/>
    <w:basedOn w:val="DefaultParagraphFont"/>
    <w:rsid w:val="009C674A"/>
    <w:rPr>
      <w:rFonts w:ascii="Symbol" w:hAnsi="Symbol"/>
    </w:rPr>
  </w:style>
  <w:style w:type="character" w:customStyle="1" w:styleId="MenuOptions">
    <w:name w:val="Menu Options"/>
    <w:basedOn w:val="DefaultParagraphFont"/>
    <w:rsid w:val="009C67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674A"/>
    <w:rPr>
      <w:b/>
    </w:rPr>
  </w:style>
  <w:style w:type="character" w:customStyle="1" w:styleId="Underlined">
    <w:name w:val="Underlined"/>
    <w:basedOn w:val="DefaultParagraphFont"/>
    <w:rsid w:val="009C674A"/>
    <w:rPr>
      <w:u w:val="single"/>
    </w:rPr>
  </w:style>
  <w:style w:type="paragraph" w:customStyle="1" w:styleId="TableBodyTextRight">
    <w:name w:val="Table Body Text Right"/>
    <w:basedOn w:val="TableBodyText"/>
    <w:rsid w:val="009C67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674A"/>
    <w:rPr>
      <w:sz w:val="18"/>
    </w:rPr>
  </w:style>
  <w:style w:type="paragraph" w:customStyle="1" w:styleId="BodySmallRight">
    <w:name w:val="Body Small Right"/>
    <w:basedOn w:val="BodyTextRight"/>
    <w:rsid w:val="009C674A"/>
    <w:rPr>
      <w:sz w:val="18"/>
      <w:szCs w:val="18"/>
    </w:rPr>
  </w:style>
  <w:style w:type="paragraph" w:customStyle="1" w:styleId="MarginEdition">
    <w:name w:val="Margin Edition"/>
    <w:basedOn w:val="MarginNote"/>
    <w:rsid w:val="009C67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674A"/>
    <w:rPr>
      <w:sz w:val="2"/>
      <w:szCs w:val="2"/>
    </w:rPr>
  </w:style>
  <w:style w:type="character" w:customStyle="1" w:styleId="Small">
    <w:name w:val="Small"/>
    <w:basedOn w:val="DefaultParagraphFont"/>
    <w:rsid w:val="009C674A"/>
    <w:rPr>
      <w:sz w:val="16"/>
    </w:rPr>
  </w:style>
  <w:style w:type="paragraph" w:customStyle="1" w:styleId="WideTable">
    <w:name w:val="Wide Table"/>
    <w:basedOn w:val="Normal"/>
    <w:rsid w:val="009C67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674A"/>
  </w:style>
  <w:style w:type="paragraph" w:styleId="Quote">
    <w:name w:val="Quote"/>
    <w:basedOn w:val="Heading1"/>
    <w:link w:val="QuoteChar"/>
    <w:qFormat/>
    <w:rsid w:val="009C67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67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674A"/>
    <w:pPr>
      <w:pageBreakBefore/>
    </w:pPr>
  </w:style>
  <w:style w:type="paragraph" w:customStyle="1" w:styleId="Border">
    <w:name w:val="Border"/>
    <w:basedOn w:val="Normal"/>
    <w:qFormat/>
    <w:rsid w:val="009C67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67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7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7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67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67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67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67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67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674A"/>
    <w:rPr>
      <w:u w:val="single"/>
    </w:rPr>
  </w:style>
  <w:style w:type="character" w:customStyle="1" w:styleId="BoldandItalics">
    <w:name w:val="Bold and Italics"/>
    <w:qFormat/>
    <w:rsid w:val="009C674A"/>
    <w:rPr>
      <w:b/>
      <w:i/>
      <w:u w:val="none"/>
    </w:rPr>
  </w:style>
  <w:style w:type="paragraph" w:styleId="BalloonText">
    <w:name w:val="Balloon Text"/>
    <w:basedOn w:val="Normal"/>
    <w:link w:val="BalloonTextChar"/>
    <w:rsid w:val="009C67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67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67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67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67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67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674A"/>
    <w:pPr>
      <w:spacing w:before="0" w:after="0"/>
    </w:pPr>
  </w:style>
  <w:style w:type="paragraph" w:customStyle="1" w:styleId="BodyTextBold">
    <w:name w:val="Body Text Bold"/>
    <w:basedOn w:val="BodyText"/>
    <w:qFormat/>
    <w:rsid w:val="009C674A"/>
    <w:rPr>
      <w:b/>
    </w:rPr>
  </w:style>
  <w:style w:type="character" w:styleId="Hyperlink">
    <w:name w:val="Hyperlink"/>
    <w:basedOn w:val="DefaultParagraphFont"/>
    <w:uiPriority w:val="99"/>
    <w:unhideWhenUsed/>
    <w:rsid w:val="009A01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660</Words>
  <Characters>4121</Characters>
  <Application>Microsoft Office Word</Application>
  <DocSecurity>0</DocSecurity>
  <Lines>206</Lines>
  <Paragraphs>99</Paragraphs>
  <ScaleCrop>false</ScaleCrop>
  <Company>Author-it Software Corporation Ltd.</Company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TLIX0015X Manage fundamental aspects of supply chains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2024-07-12T07:42:00Z</dcterms:created>
  <dcterms:modified xsi:type="dcterms:W3CDTF">2024-07-12T07:42:00Z</dcterms:modified>
</cp:coreProperties>
</file>