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BB8" w:rsidP="00F40BB8">
      <w:pPr>
        <w:pStyle w:val="Title"/>
      </w:pPr>
      <w:r>
        <w:fldChar w:fldCharType="begin"/>
      </w:r>
      <w:r>
        <w:instrText xml:space="preserve"> TITLE   \* MERGEFORMAT </w:instrText>
      </w:r>
      <w:r>
        <w:fldChar w:fldCharType="separate"/>
      </w:r>
      <w:r>
        <w:t>TLIX0014X Manage customer focussed supply chain</w:t>
      </w:r>
      <w:r>
        <w:fldChar w:fldCharType="end"/>
      </w:r>
    </w:p>
    <w:p w:rsidR="00F40BB8" w:rsidP="00F40BB8">
      <w:pPr>
        <w:pStyle w:val="Version"/>
        <w:sectPr w:rsidSect="00C53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DCD" w:rsidP="00C53DCD">
      <w:pPr>
        <w:pStyle w:val="SuperHeading"/>
      </w:pPr>
      <w:r w:rsidRPr="00C53DCD">
        <w:t>TLIX0014X Manage customer focussed supply chain</w:t>
      </w:r>
    </w:p>
    <w:p w:rsidR="00000000" w:rsidRPr="00C53DCD" w:rsidP="00C53DCD">
      <w:pPr>
        <w:pStyle w:val="Heading1"/>
      </w:pPr>
      <w:bookmarkStart w:id="1" w:name="O_1066348"/>
      <w:bookmarkEnd w:id="1"/>
      <w:r w:rsidRPr="00C53DCD">
        <w:t>Modification History</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Release 1.</w:t>
            </w:r>
            <w:r w:rsidRPr="00C53DCD">
              <w:t xml:space="preserve"> This is the first release of this unit of competency in the TLI Transport and Logistics Training Package.</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2" w:name="O_1066349"/>
      <w:bookmarkEnd w:id="2"/>
      <w:r w:rsidRPr="00C53DCD">
        <w:t>Application</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This unit of competency describes the skills and knowledge required to manag</w:t>
            </w:r>
            <w:r w:rsidRPr="00C53DCD">
              <w:t>e a customer focussed supply chains. It includes identifying supply chain relationships, establishing a customer service plan, ensuring customer engagement in the supply chain and reviewing customer focussed supply chain outcomes.</w:t>
            </w:r>
          </w:p>
          <w:p w:rsidR="00000000" w:rsidRPr="00C53DCD" w:rsidP="00C53DCD">
            <w:pPr>
              <w:pStyle w:val="BodyText"/>
            </w:pPr>
            <w:r w:rsidRPr="00C53DCD">
              <w:t>A customer focused supply</w:t>
            </w:r>
            <w:r w:rsidRPr="00C53DCD">
              <w:t xml:space="preserve"> chain aims, with the use of digital technology, to enhance the customer</w:t>
            </w:r>
            <w:r>
              <w:t>’</w:t>
            </w:r>
            <w:r w:rsidRPr="00C53DCD">
              <w:t>s overall satisfaction with the products and/or services on offer. Collaborative relationships are established up and down the supply chain with everyone linked, through technology, t</w:t>
            </w:r>
            <w:r w:rsidRPr="00C53DCD">
              <w:t xml:space="preserve">o the customer. </w:t>
            </w:r>
          </w:p>
          <w:p w:rsidR="00000000" w:rsidRPr="00C53DCD" w:rsidP="00C53DCD">
            <w:pPr>
              <w:pStyle w:val="BodyText"/>
            </w:pPr>
            <w:r w:rsidRPr="00C53DCD">
              <w:t>The unit is applicable to those with management or team leadership responsibilities within a supply chain.</w:t>
            </w:r>
          </w:p>
          <w:p w:rsidR="00000000" w:rsidRPr="00C53DCD" w:rsidP="00C53DCD">
            <w:pPr>
              <w:pStyle w:val="BodyText"/>
            </w:pPr>
            <w:r w:rsidRPr="00C53DCD">
              <w:t>No licensing, legislative or certification requirements apply to this unit at the time of publication.</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3" w:name="O_1066350"/>
      <w:bookmarkEnd w:id="3"/>
      <w:r w:rsidRPr="00C53DCD">
        <w:t>Pre-requ</w:t>
      </w:r>
      <w:r w:rsidRPr="00C53DCD">
        <w:t>isite Unit</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Not applicable</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4" w:name="O_1066351"/>
      <w:bookmarkEnd w:id="4"/>
      <w:r w:rsidRPr="00C53DCD">
        <w:t>Competency Field</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X - Logistics</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5" w:name="O_1066352"/>
      <w:bookmarkEnd w:id="5"/>
      <w:r w:rsidRPr="00C53DCD">
        <w:t>Unit Sector</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Cross sector</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6" w:name="O_1066353"/>
      <w:bookmarkEnd w:id="6"/>
      <w:r w:rsidRPr="00C53DCD">
        <w:t>Elements and Performance Criteria</w:t>
      </w:r>
    </w:p>
    <w:tbl>
      <w:tblPr>
        <w:tblW w:w="0" w:type="auto"/>
        <w:tblLayout w:type="fixed"/>
        <w:tblCellMar>
          <w:left w:w="62" w:type="dxa"/>
          <w:right w:w="62" w:type="dxa"/>
        </w:tblCellMar>
        <w:tblLook w:val="0000"/>
      </w:tblPr>
      <w:tblGrid>
        <w:gridCol w:w="403"/>
        <w:gridCol w:w="2839"/>
        <w:gridCol w:w="638"/>
        <w:gridCol w:w="5259"/>
      </w:tblGrid>
      <w:tr w:rsidTr="00C53DCD">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PERFORMANCE CRITERIA</w:t>
            </w:r>
          </w:p>
        </w:tc>
      </w:tr>
      <w:tr w:rsidTr="00C53DCD">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Performance criteria describe the performance needed to demonstrate achievement of the element.</w:t>
            </w:r>
          </w:p>
        </w:tc>
      </w:tr>
      <w:tr w:rsidTr="00C53DC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Identify supply chain</w:t>
            </w:r>
            <w:r w:rsidRPr="00C53DCD">
              <w:t xml:space="preserve"> </w:t>
            </w:r>
            <w:r w:rsidRPr="00C53DCD">
              <w:rPr>
                <w:rStyle w:val="SpecialBold"/>
              </w:rPr>
              <w:t>relationships</w:t>
            </w: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 xml:space="preserve">Stakeholders, customer relationships and the flow of </w:t>
            </w:r>
            <w:r w:rsidRPr="00C53DCD">
              <w:t>information throughout the supply chain are mapped</w:t>
            </w:r>
          </w:p>
        </w:tc>
      </w:tr>
      <w:tr w:rsidTr="00C53DC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Techn</w:t>
            </w:r>
            <w:r w:rsidRPr="00C53DCD">
              <w:t>ology used to maintain a customer focussed supply chain is confirmed</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Level of responsibility and authority to manage a customer focussed supply chain is confirmed</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Establish customer services plan</w:t>
            </w: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 xml:space="preserve">Customer needs and requirements are identified to determine products and services </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 xml:space="preserve">Fulfillment model, including delivery options for customer purchases, is determined  </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Customer services plan, including Key Performance Indicators (KPIs), is a</w:t>
            </w:r>
            <w:r w:rsidRPr="00C53DCD">
              <w:t>ligned to the supply chain</w:t>
            </w:r>
            <w:r>
              <w:t>’</w:t>
            </w:r>
            <w:r w:rsidRPr="00C53DCD">
              <w:t xml:space="preserve">s business strategy  </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2</w:t>
            </w:r>
            <w:r w:rsidRPr="00C53DCD">
              <w:t>.</w:t>
            </w:r>
            <w:r w:rsidRPr="00C53DCD">
              <w:rPr>
                <w:rStyle w:val="SpecialBold"/>
              </w:rPr>
              <w:t>4</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 xml:space="preserve">Policies, procedures, processes and data requirements to support the customer service plan are implemented </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2.5</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Customer services plan and KPIs are communicated to supply chain stakeholders</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Ensure customer engagement</w:t>
            </w: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 xml:space="preserve">Two way real time communication is maintained with customers, using approved methods and tools </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3</w:t>
            </w:r>
            <w:r w:rsidRPr="00C53DCD">
              <w:t>.</w:t>
            </w:r>
            <w:r w:rsidRPr="00C53DCD">
              <w:rPr>
                <w:rStyle w:val="SpecialBold"/>
              </w:rPr>
              <w:t>2</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 xml:space="preserve">Customer support, including digital onboarding processes and procedures, is monitored </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Data from customers and supp</w:t>
            </w:r>
            <w:r w:rsidRPr="00C53DCD">
              <w:t>liers</w:t>
            </w:r>
            <w:r>
              <w:t>’</w:t>
            </w:r>
            <w:r w:rsidRPr="00C53DCD">
              <w:t xml:space="preserve"> is collated and analysed, in accordance with supply chain procedures </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 xml:space="preserve">3.4 </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Customer feedback and complaints, including returns, are tracked and resolved, in accordance with customer service policies and procedures</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 xml:space="preserve">3.5 </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 xml:space="preserve">Supply planning and demand forecasting is monitored using approved methods and tools </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Review</w:t>
            </w:r>
            <w:r w:rsidRPr="00C53DCD">
              <w:t xml:space="preserve"> </w:t>
            </w:r>
            <w:r w:rsidRPr="00C53DCD">
              <w:rPr>
                <w:rStyle w:val="SpecialBold"/>
              </w:rPr>
              <w:t>customer focussed</w:t>
            </w:r>
            <w:r w:rsidRPr="00C53DCD">
              <w:t xml:space="preserve"> </w:t>
            </w:r>
            <w:r w:rsidRPr="00C53DCD">
              <w:rPr>
                <w:rStyle w:val="SpecialBold"/>
              </w:rPr>
              <w:t>supply chain</w:t>
            </w:r>
            <w:r w:rsidRPr="00C53DCD">
              <w:t xml:space="preserve"> </w:t>
            </w:r>
            <w:r w:rsidRPr="00C53DCD">
              <w:rPr>
                <w:rStyle w:val="SpecialBold"/>
              </w:rPr>
              <w:t xml:space="preserve">outcomes </w:t>
            </w: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4.1</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Customer service plan and KPIs are reviewed, in consultation with supply chain stakeholders</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4.2</w:t>
            </w:r>
          </w:p>
        </w:tc>
        <w:tc>
          <w:tcPr>
            <w:tcW w:w="5259"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Report on custom</w:t>
            </w:r>
            <w:r w:rsidRPr="00C53DCD">
              <w:t>er focussed supply chain outcomes is prepared and presented to approved stakeholders</w:t>
            </w:r>
          </w:p>
        </w:tc>
      </w:tr>
      <w:tr w:rsidTr="00C53DCD">
        <w:tblPrEx>
          <w:tblW w:w="0" w:type="auto"/>
          <w:tblLayout w:type="fixed"/>
          <w:tblCellMar>
            <w:left w:w="62" w:type="dxa"/>
            <w:right w:w="62" w:type="dxa"/>
          </w:tblCellMar>
          <w:tblLook w:val="0000"/>
        </w:tblPrEx>
        <w:trPr>
          <w:trHeight w:val="78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53DCD">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rPr>
                <w:rStyle w:val="SpecialBold"/>
              </w:rPr>
              <w:t>4.3</w:t>
            </w:r>
          </w:p>
        </w:tc>
        <w:tc>
          <w:tcPr>
            <w:tcW w:w="5259"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Continuous improvement actions that support a customer focussed supply chain are documented</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7" w:name="O_1066354"/>
      <w:bookmarkEnd w:id="7"/>
      <w:r w:rsidRPr="00C53DCD">
        <w:t>Foundation Skills</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Foundation skills essential to performance are explicit in the performance criteria of this unit of competency.</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8" w:name="O_1066355"/>
      <w:bookmarkEnd w:id="8"/>
      <w:r w:rsidRPr="00C53DCD">
        <w:t>Range of Conditions</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Range is restricted to essential operating conditions and any other variables essential to the work env</w:t>
            </w:r>
            <w:r w:rsidRPr="00C53DCD">
              <w:t>ironment.</w:t>
            </w:r>
          </w:p>
          <w:p w:rsidR="00000000" w:rsidRPr="00C53DCD" w:rsidP="00C53DCD">
            <w:pPr>
              <w:pStyle w:val="BodyText"/>
            </w:pPr>
            <w:r w:rsidRPr="00C53DCD">
              <w:t>Non-essential conditions may be found in the Companion Volume Implementation Guide.</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9" w:name="O_1066356"/>
      <w:bookmarkEnd w:id="9"/>
      <w:r w:rsidRPr="00C53DCD">
        <w:t>Unit Mapping Information</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This is a new unit. There is no equivalent unit.</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10" w:name="O_1066363"/>
      <w:bookmarkEnd w:id="10"/>
      <w:r w:rsidRPr="00C53DCD">
        <w:t>Links</w:t>
      </w:r>
    </w:p>
    <w:p w:rsidR="00000000" w:rsidRPr="00C53DCD" w:rsidP="00F40BB8">
      <w:pPr>
        <w:pStyle w:val="BodyText"/>
      </w:pPr>
      <w:r w:rsidRPr="00C53DC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4A05">
        <w:rPr>
          <w:rStyle w:val="Hyperlink"/>
        </w:rPr>
        <w:t>https://vetnet.gov.au/Pages/TrainingDocs.aspx?q=df441c6e-213d-43e3-874c-0b3f7036d851</w:t>
      </w:r>
      <w:r>
        <w:fldChar w:fldCharType="end"/>
      </w:r>
    </w:p>
    <w:p w:rsidR="00000000" w:rsidRPr="00C53DCD" w:rsidP="00F40BB8">
      <w:pPr>
        <w:pStyle w:val="BodyText"/>
        <w:sectPr w:rsidSect="00C53DCD">
          <w:headerReference w:type="default" r:id="rId10"/>
          <w:footerReference w:type="default" r:id="rId11"/>
          <w:pgSz w:w="11908" w:h="16833"/>
          <w:pgMar w:top="1702" w:right="1418" w:bottom="1702" w:left="1418" w:header="992" w:footer="992" w:gutter="0"/>
          <w:cols w:space="720"/>
          <w:noEndnote/>
          <w:docGrid w:linePitch="299"/>
        </w:sectPr>
      </w:pPr>
    </w:p>
    <w:p w:rsidR="00000000" w:rsidRPr="00C53DCD" w:rsidP="00C53DCD">
      <w:pPr>
        <w:pStyle w:val="SuperHeading"/>
      </w:pPr>
      <w:r w:rsidRPr="00C53DCD">
        <w:t xml:space="preserve">Assessment Requirements for TLIX0014X Manage customer focussed </w:t>
      </w:r>
      <w:r w:rsidRPr="00C53DCD">
        <w:t>supply chain</w:t>
      </w:r>
    </w:p>
    <w:p w:rsidR="00000000" w:rsidRPr="00C53DCD" w:rsidP="00C53DCD">
      <w:pPr>
        <w:pStyle w:val="Heading1"/>
      </w:pPr>
      <w:bookmarkStart w:id="11" w:name="O_1066358"/>
      <w:bookmarkEnd w:id="11"/>
      <w:r w:rsidRPr="00C53DCD">
        <w:t>Modification History</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rPr>
                <w:rStyle w:val="SpecialBold"/>
              </w:rPr>
              <w:t xml:space="preserve">Release 1. </w:t>
            </w:r>
            <w:r w:rsidRPr="00C53DCD">
              <w:t>This is the first release of this unit of competency in the TLI Transport and Logistics Training Package.</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12" w:name="O_1066359"/>
      <w:bookmarkEnd w:id="12"/>
      <w:r w:rsidRPr="00C53DCD">
        <w:t>Performance Evidence</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Evidence required to demonstrate competence in this unit must be relevant to and satisfy all the requirements of the elements and performance criteria on at least one occasion and includes</w:t>
            </w:r>
          </w:p>
        </w:tc>
      </w:tr>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ListBullet"/>
            </w:pPr>
            <w:r w:rsidRPr="00C53DCD">
              <w:t>aligning customer service plan to supply chain’s business strateg</w:t>
            </w:r>
            <w:r w:rsidRPr="00C53DCD">
              <w:t xml:space="preserve">y  </w:t>
            </w:r>
          </w:p>
          <w:p w:rsidR="00000000" w:rsidRPr="00C53DCD" w:rsidP="00C53DCD">
            <w:pPr>
              <w:pStyle w:val="ListBullet"/>
            </w:pPr>
            <w:r w:rsidRPr="00C53DCD">
              <w:t>collating and analysing customer and suppliers</w:t>
            </w:r>
            <w:r>
              <w:t>’</w:t>
            </w:r>
            <w:r w:rsidRPr="00C53DCD">
              <w:t xml:space="preserve"> data </w:t>
            </w:r>
          </w:p>
          <w:p w:rsidR="00000000" w:rsidRPr="00C53DCD" w:rsidP="00C53DCD">
            <w:pPr>
              <w:pStyle w:val="ListBullet"/>
            </w:pPr>
            <w:r w:rsidRPr="00C53DCD">
              <w:t>confirming fulfilment model including customer delivery options</w:t>
            </w:r>
          </w:p>
          <w:p w:rsidR="00000000" w:rsidRPr="00C53DCD" w:rsidP="00C53DCD">
            <w:pPr>
              <w:pStyle w:val="ListBullet"/>
            </w:pPr>
            <w:r w:rsidRPr="00C53DCD">
              <w:t xml:space="preserve">determining stakeholder, customer relationships and flow of information  </w:t>
            </w:r>
          </w:p>
          <w:p w:rsidR="00000000" w:rsidRPr="00C53DCD" w:rsidP="00C53DCD">
            <w:pPr>
              <w:pStyle w:val="ListBullet"/>
            </w:pPr>
            <w:r w:rsidRPr="00C53DCD">
              <w:t>documenting continuous improvement actions</w:t>
            </w:r>
          </w:p>
          <w:p w:rsidR="00000000" w:rsidRPr="00C53DCD" w:rsidP="00C53DCD">
            <w:pPr>
              <w:pStyle w:val="ListBullet"/>
            </w:pPr>
            <w:r w:rsidRPr="00C53DCD">
              <w:t xml:space="preserve">ensuring policies, procedures, processes and data requirements are aligned to the customer service plan and customer focussed supply chain outcomes </w:t>
            </w:r>
          </w:p>
          <w:p w:rsidR="00000000" w:rsidRPr="00C53DCD" w:rsidP="00C53DCD">
            <w:pPr>
              <w:pStyle w:val="ListBullet"/>
            </w:pPr>
            <w:r w:rsidRPr="00C53DCD">
              <w:t xml:space="preserve">establishing and communicating customer service plan and Key Performance Indicators (KPIs) to stakeholders </w:t>
            </w:r>
          </w:p>
          <w:p w:rsidR="00000000" w:rsidRPr="00C53DCD" w:rsidP="00C53DCD">
            <w:pPr>
              <w:pStyle w:val="ListBullet"/>
            </w:pPr>
            <w:r w:rsidRPr="00C53DCD">
              <w:t>identifying customer requirements</w:t>
            </w:r>
          </w:p>
          <w:p w:rsidR="00000000" w:rsidRPr="00C53DCD" w:rsidP="00C53DCD">
            <w:pPr>
              <w:pStyle w:val="ListBullet"/>
            </w:pPr>
            <w:r w:rsidRPr="00C53DCD">
              <w:t xml:space="preserve">maintaining customer support including digital onboarding processes and procedures </w:t>
            </w:r>
          </w:p>
          <w:p w:rsidR="00000000" w:rsidRPr="00C53DCD" w:rsidP="00C53DCD">
            <w:pPr>
              <w:pStyle w:val="ListBullet"/>
            </w:pPr>
            <w:r w:rsidRPr="00C53DCD">
              <w:t>monitoring supply planning and demand forecasting using approved methods and tools</w:t>
            </w:r>
          </w:p>
          <w:p w:rsidR="00000000" w:rsidRPr="00C53DCD" w:rsidP="00C53DCD">
            <w:pPr>
              <w:pStyle w:val="ListBullet"/>
            </w:pPr>
            <w:r w:rsidRPr="00C53DCD">
              <w:t>reviewing and reporting on customer service plan and K</w:t>
            </w:r>
            <w:r w:rsidRPr="00C53DCD">
              <w:t xml:space="preserve">PI outcomes </w:t>
            </w:r>
          </w:p>
          <w:p w:rsidR="00000000" w:rsidRPr="00C53DCD" w:rsidP="00C53DCD">
            <w:pPr>
              <w:pStyle w:val="ListBullet"/>
            </w:pPr>
            <w:r w:rsidRPr="00C53DCD">
              <w:t xml:space="preserve">tracking and addressing customer feedback and complaints including returns </w:t>
            </w:r>
          </w:p>
          <w:p w:rsidR="00000000" w:rsidRPr="00C53DCD" w:rsidP="00C53DCD">
            <w:pPr>
              <w:pStyle w:val="ListBullet"/>
            </w:pPr>
            <w:r w:rsidRPr="00C53DCD">
              <w:t>using two way real time communication methods and tools</w:t>
            </w:r>
          </w:p>
          <w:p w:rsidR="00000000" w:rsidRPr="00C53DCD" w:rsidP="00C53DCD">
            <w:pPr>
              <w:pStyle w:val="ListBullet"/>
            </w:pPr>
            <w:r w:rsidRPr="00C53DCD">
              <w:t>working with digital technology in supply chains.</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13" w:name="O_1066360"/>
      <w:bookmarkEnd w:id="13"/>
      <w:r w:rsidRPr="00C53DCD">
        <w:t>Knowledge Evidence</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3DCD">
            <w:pPr>
              <w:pStyle w:val="BodyText"/>
              <w:rPr>
                <w:lang w:val="en-NZ"/>
              </w:rPr>
            </w:pPr>
            <w:r w:rsidRPr="00C53DCD">
              <w:t>Evidence required to demonstrate competence in this unit must be relevant to and satisfy all the requirements of the elements and performance criteria and includes knowledge of</w:t>
            </w:r>
          </w:p>
        </w:tc>
      </w:tr>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ListBullet"/>
            </w:pPr>
            <w:r w:rsidRPr="00C53DCD">
              <w:t>circular economy principles in relation to addressing sustainable practices i</w:t>
            </w:r>
            <w:r w:rsidRPr="00C53DCD">
              <w:t xml:space="preserve">n customer focussed supply chains </w:t>
            </w:r>
          </w:p>
          <w:p w:rsidR="00000000" w:rsidRPr="00C53DCD" w:rsidP="00C53DCD">
            <w:pPr>
              <w:pStyle w:val="ListBullet"/>
            </w:pPr>
            <w:r w:rsidRPr="00C53DCD">
              <w:t>continuous improvement principles</w:t>
            </w:r>
          </w:p>
          <w:p w:rsidR="00000000" w:rsidRPr="00C53DCD" w:rsidP="00C53DCD">
            <w:pPr>
              <w:pStyle w:val="ListBullet"/>
            </w:pPr>
            <w:r w:rsidRPr="00C53DCD">
              <w:t xml:space="preserve">customer focussed supply chains </w:t>
            </w:r>
          </w:p>
          <w:p w:rsidR="00000000" w:rsidRPr="00C53DCD" w:rsidP="00C53DCD">
            <w:pPr>
              <w:pStyle w:val="ListBullet"/>
            </w:pPr>
            <w:r w:rsidRPr="00C53DCD">
              <w:t>customer requirements</w:t>
            </w:r>
          </w:p>
          <w:p w:rsidR="00000000" w:rsidRPr="00C53DCD" w:rsidP="00C53DCD">
            <w:pPr>
              <w:pStyle w:val="ListBullet"/>
            </w:pPr>
            <w:r w:rsidRPr="00C53DCD">
              <w:t xml:space="preserve">customer service plans and Key Performance Indicators (KPIs) </w:t>
            </w:r>
          </w:p>
          <w:p w:rsidR="00000000" w:rsidRPr="00C53DCD" w:rsidP="00C53DCD">
            <w:pPr>
              <w:pStyle w:val="ListBullet"/>
            </w:pPr>
            <w:r w:rsidRPr="00C53DCD">
              <w:tab/>
              <w:t>customer support including digital onboarding processes and procedure</w:t>
            </w:r>
            <w:r w:rsidRPr="00C53DCD">
              <w:t>s</w:t>
            </w:r>
          </w:p>
          <w:p w:rsidR="00000000" w:rsidRPr="00C53DCD" w:rsidP="00C53DCD">
            <w:pPr>
              <w:pStyle w:val="ListBullet"/>
            </w:pPr>
            <w:r w:rsidRPr="00C53DCD">
              <w:t xml:space="preserve">data collation and analysis </w:t>
            </w:r>
          </w:p>
          <w:p w:rsidR="00000000" w:rsidRPr="00C53DCD" w:rsidP="00C53DCD">
            <w:pPr>
              <w:pStyle w:val="ListBullet"/>
            </w:pPr>
            <w:r w:rsidRPr="00C53DCD">
              <w:t xml:space="preserve">demand and supply forecasting methods and tools </w:t>
            </w:r>
          </w:p>
          <w:p w:rsidR="00000000" w:rsidRPr="00C53DCD" w:rsidP="00C53DCD">
            <w:pPr>
              <w:pStyle w:val="ListBullet"/>
            </w:pPr>
            <w:r w:rsidRPr="00C53DCD">
              <w:t xml:space="preserve">digital technology used in supply chains </w:t>
            </w:r>
          </w:p>
          <w:p w:rsidR="00000000" w:rsidRPr="00C53DCD" w:rsidP="00C53DCD">
            <w:pPr>
              <w:pStyle w:val="ListBullet"/>
            </w:pPr>
            <w:r w:rsidRPr="00C53DCD">
              <w:t>fulfillment models and delivery options</w:t>
            </w:r>
          </w:p>
          <w:p w:rsidR="00000000" w:rsidRPr="00C53DCD" w:rsidP="00C53DCD">
            <w:pPr>
              <w:pStyle w:val="ListBullet"/>
            </w:pPr>
            <w:r w:rsidRPr="00C53DCD">
              <w:t>methods for customer engagement</w:t>
            </w:r>
          </w:p>
          <w:p w:rsidR="00000000" w:rsidRPr="00C53DCD" w:rsidP="00C53DCD">
            <w:pPr>
              <w:pStyle w:val="ListBullet"/>
            </w:pPr>
            <w:r w:rsidRPr="00C53DCD">
              <w:t>policies, procedures and processes for a customer focussed supply chains</w:t>
            </w:r>
          </w:p>
          <w:p w:rsidR="00000000" w:rsidRPr="00C53DCD" w:rsidP="00C53DCD">
            <w:pPr>
              <w:pStyle w:val="ListBullet"/>
            </w:pPr>
            <w:r w:rsidRPr="00C53DCD">
              <w:t>resolution methods for customer feedback, complaints and returns</w:t>
            </w:r>
          </w:p>
          <w:p w:rsidR="00000000" w:rsidRPr="00C53DCD" w:rsidP="00C53DCD">
            <w:pPr>
              <w:pStyle w:val="ListBullet"/>
            </w:pPr>
            <w:r w:rsidRPr="00C53DCD">
              <w:t xml:space="preserve">review and report requirements </w:t>
            </w:r>
          </w:p>
          <w:p w:rsidR="00000000" w:rsidRPr="00C53DCD" w:rsidP="00C53DCD">
            <w:pPr>
              <w:pStyle w:val="ListBullet"/>
            </w:pPr>
            <w:r w:rsidRPr="00C53DCD">
              <w:t>stakeholder, customer relationship and flow of information mapping</w:t>
            </w:r>
          </w:p>
          <w:p w:rsidR="00000000" w:rsidRPr="00C53DCD" w:rsidP="00C53DCD">
            <w:pPr>
              <w:pStyle w:val="ListBullet"/>
            </w:pPr>
            <w:r w:rsidRPr="00C53DCD">
              <w:t>stakeholders in dig</w:t>
            </w:r>
            <w:r w:rsidRPr="00C53DCD">
              <w:t>ital supply chains</w:t>
            </w:r>
          </w:p>
          <w:p w:rsidR="00000000" w:rsidRPr="00C53DCD" w:rsidP="00C53DCD">
            <w:pPr>
              <w:pStyle w:val="ListBullet"/>
            </w:pPr>
            <w:r w:rsidRPr="00C53DCD">
              <w:t xml:space="preserve">supply chain’s business strategy </w:t>
            </w:r>
          </w:p>
          <w:p w:rsidR="00000000" w:rsidRPr="00C53DCD" w:rsidP="00C53DCD">
            <w:pPr>
              <w:pStyle w:val="ListBullet"/>
            </w:pPr>
            <w:r w:rsidRPr="00C53DCD">
              <w:tab/>
              <w:t>two way communication methods and tools.</w:t>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14" w:name="O_1066361"/>
      <w:bookmarkEnd w:id="14"/>
      <w:r w:rsidRPr="00C53DCD">
        <w:t>Assessment Conditions</w:t>
      </w:r>
    </w:p>
    <w:tbl>
      <w:tblPr>
        <w:tblW w:w="9497" w:type="dxa"/>
        <w:tblLayout w:type="fixed"/>
        <w:tblCellMar>
          <w:left w:w="62" w:type="dxa"/>
          <w:right w:w="62" w:type="dxa"/>
        </w:tblCellMar>
        <w:tblLook w:val="0000"/>
      </w:tblPr>
      <w:tblGrid>
        <w:gridCol w:w="9497"/>
      </w:tblGrid>
      <w:tr w:rsidTr="00C53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DCD" w:rsidP="00C53DCD">
            <w:pPr>
              <w:pStyle w:val="BodyText"/>
            </w:pPr>
            <w:r w:rsidRPr="00C53DCD">
              <w:t>Assessors must hold credentials specified within the Standards for Registered Training Organisations current at the ti</w:t>
            </w:r>
            <w:r w:rsidRPr="00C53DCD">
              <w:t xml:space="preserve">me of assessment. </w:t>
            </w:r>
          </w:p>
          <w:p w:rsidR="00000000" w:rsidRPr="00C53DCD" w:rsidP="00C53DCD">
            <w:pPr>
              <w:pStyle w:val="BodyText"/>
            </w:pPr>
            <w:r w:rsidRPr="00C53DCD">
              <w:t>Assessment must satisfy the Principles of Assessment and Rules of Evidence and all regulatory requirements included within the Standards for Registered Training Organisations current at the time of assessment.</w:t>
            </w:r>
          </w:p>
          <w:p w:rsidR="00000000" w:rsidRPr="00C53DCD" w:rsidP="00C53DCD">
            <w:pPr>
              <w:pStyle w:val="BodyText"/>
            </w:pPr>
            <w:r w:rsidRPr="00C53DCD">
              <w:t>Assessment must occur in workplace operational situations where it is appropriate to do so. Where this is not appropriate, assessment must occur in simulated workplace operational situations that replicate workplace conditions.</w:t>
            </w:r>
          </w:p>
          <w:p w:rsidR="00000000" w:rsidRPr="00C53DCD" w:rsidP="00C53DCD">
            <w:pPr>
              <w:pStyle w:val="BodyText"/>
            </w:pPr>
            <w:r w:rsidRPr="00C53DCD">
              <w:t>Assessment processes and tec</w:t>
            </w:r>
            <w:r w:rsidRPr="00C53DCD">
              <w:t>hniques must be appropriate to the language, literacy and numeracy requirements of the work being performed and the needs of the candidate.</w:t>
            </w:r>
          </w:p>
          <w:p w:rsidR="00000000" w:rsidRPr="00C53DCD" w:rsidP="00C53DCD">
            <w:pPr>
              <w:pStyle w:val="BodyText"/>
            </w:pPr>
            <w:r w:rsidRPr="00C53DCD">
              <w:t>Resources for assessment must include access to a range of</w:t>
            </w:r>
          </w:p>
          <w:p w:rsidR="00000000" w:rsidRPr="00C53DCD" w:rsidP="00C53DCD">
            <w:pPr>
              <w:pStyle w:val="ListBullet"/>
            </w:pPr>
            <w:r w:rsidRPr="00C53DCD">
              <w:t>exercises, case studies and/or other simulations</w:t>
            </w:r>
          </w:p>
          <w:p w:rsidR="00000000" w:rsidRPr="00C53DCD" w:rsidP="00C53DCD">
            <w:pPr>
              <w:pStyle w:val="ListBullet"/>
            </w:pPr>
            <w:r w:rsidRPr="00C53DCD">
              <w:t>materia</w:t>
            </w:r>
            <w:r w:rsidRPr="00C53DCD">
              <w:t>ls and tools including digital supply chain equipment used in industry</w:t>
            </w:r>
          </w:p>
          <w:p w:rsidR="00000000" w:rsidRPr="00C53DCD" w:rsidP="00C53DCD">
            <w:pPr>
              <w:pStyle w:val="ListBullet"/>
            </w:pPr>
            <w:r w:rsidRPr="00C53DCD">
              <w:t>documentation including organisational policies and procedures, industry standards, regulations, codes of practice, operational manuals and equipment specifications.</w:t>
            </w:r>
            <w:r w:rsidRPr="00C53DCD">
              <w:tab/>
            </w:r>
          </w:p>
        </w:tc>
      </w:tr>
    </w:tbl>
    <w:p w:rsidR="00000000" w:rsidRPr="00C53DCD" w:rsidP="00C53DCD">
      <w:pPr>
        <w:pStyle w:val="NoPaddingFontSize1"/>
      </w:pPr>
    </w:p>
    <w:p w:rsidR="00000000" w:rsidRPr="00C53DCD" w:rsidP="00C53DCD">
      <w:pPr>
        <w:pStyle w:val="AllowPageBreak"/>
      </w:pPr>
    </w:p>
    <w:p w:rsidR="00000000" w:rsidRPr="00C53DCD" w:rsidP="00C53DCD">
      <w:pPr>
        <w:pStyle w:val="Heading1"/>
      </w:pPr>
      <w:bookmarkStart w:id="15" w:name="O_1066364"/>
      <w:bookmarkEnd w:id="15"/>
      <w:r w:rsidRPr="00C53DCD">
        <w:t>Links</w:t>
      </w:r>
    </w:p>
    <w:p w:rsidR="00000000" w:rsidRPr="00C53DCD" w:rsidP="00F40BB8">
      <w:pPr>
        <w:pStyle w:val="BodyText"/>
      </w:pPr>
      <w:r w:rsidRPr="00C53DC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4A05">
        <w:rPr>
          <w:rStyle w:val="Hyperlink"/>
        </w:rPr>
        <w:t>https://vetnet.gov.au/Pages/TrainingDocs.aspx?q=df441c6e-213d-43e3-874c-0b3f7036d851</w:t>
      </w:r>
      <w:r>
        <w:fldChar w:fldCharType="end"/>
      </w:r>
    </w:p>
    <w:p w:rsidR="00000000" w:rsidRPr="00C53DCD" w:rsidP="00C53DCD"/>
    <w:sectPr w:rsidSect="00C53D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CD" w:rsidRPr="00F40BB8" w:rsidP="00F40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B8" w:rsidP="00C53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BB8" w:rsidP="00C53D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40BB8" w:rsidP="00C53D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CD" w:rsidP="00C53DCD">
    <w:pPr>
      <w:pStyle w:val="Footer"/>
      <w:framePr w:wrap="around"/>
    </w:pPr>
    <w:r>
      <w:fldChar w:fldCharType="begin"/>
    </w:r>
    <w:r>
      <w:instrText xml:space="preserve"> DOCPROPERTY  Subject  \* MERGEFORMAT </w:instrText>
    </w:r>
    <w:r>
      <w:fldChar w:fldCharType="separate"/>
    </w:r>
    <w:r w:rsidR="00F40BB8">
      <w:t>Approved</w:t>
    </w:r>
    <w:r w:rsidR="00F40BB8">
      <w:fldChar w:fldCharType="end"/>
    </w:r>
    <w:r>
      <w:tab/>
      <w:t xml:space="preserve">Page </w:t>
    </w:r>
    <w:r>
      <w:fldChar w:fldCharType="begin"/>
    </w:r>
    <w:r>
      <w:instrText xml:space="preserve"> PAGE  \* Arabic  \* MERGEFORMAT </w:instrText>
    </w:r>
    <w:r>
      <w:fldChar w:fldCharType="separate"/>
    </w:r>
    <w:r w:rsidR="00F40B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BB8">
      <w:rPr>
        <w:noProof/>
      </w:rPr>
      <w:t>4</w:t>
    </w:r>
    <w:r>
      <w:rPr>
        <w:noProof/>
      </w:rPr>
      <w:fldChar w:fldCharType="end"/>
    </w:r>
  </w:p>
  <w:p w:rsidR="00C53DCD" w:rsidP="00C53DCD">
    <w:pPr>
      <w:pStyle w:val="Footer"/>
      <w:framePr w:wrap="around"/>
    </w:pPr>
    <w:r>
      <w:t xml:space="preserve">© Commonwealth of Australia, </w:t>
    </w:r>
    <w:r>
      <w:fldChar w:fldCharType="begin"/>
    </w:r>
    <w:r>
      <w:instrText xml:space="preserve"> DATE  \@ "yyyy"  \* MERGEFORMAT </w:instrText>
    </w:r>
    <w:r>
      <w:fldChar w:fldCharType="separate"/>
    </w:r>
    <w:r w:rsidR="00F40BB8">
      <w:rPr>
        <w:noProof/>
      </w:rPr>
      <w:t>2025</w:t>
    </w:r>
    <w:r>
      <w:fldChar w:fldCharType="end"/>
    </w:r>
    <w:r>
      <w:tab/>
    </w:r>
    <w:r>
      <w:fldChar w:fldCharType="begin"/>
    </w:r>
    <w:r>
      <w:instrText xml:space="preserve"> DOCPROPERTY  Author  \* MERGEFORMAT </w:instrText>
    </w:r>
    <w:r>
      <w:fldChar w:fldCharType="separate"/>
    </w:r>
    <w:r w:rsidR="00F40BB8">
      <w:t>Industry Skills Australia</w:t>
    </w:r>
    <w:r w:rsidR="00F40BB8">
      <w:fldChar w:fldCharType="end"/>
    </w:r>
  </w:p>
  <w:p w:rsidR="00C53DCD" w:rsidP="00C53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DCD" w:rsidRPr="00F40BB8" w:rsidP="00F40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B8" w:rsidRPr="002D2AF8" w:rsidP="00C53DCD">
    <w:pPr>
      <w:pStyle w:val="Header"/>
      <w:framePr w:wrap="around"/>
    </w:pPr>
    <w:r>
      <w:fldChar w:fldCharType="begin"/>
    </w:r>
    <w:r>
      <w:instrText xml:space="preserve"> TITLE   \* MERGEFORMAT </w:instrText>
    </w:r>
    <w:r>
      <w:fldChar w:fldCharType="separate"/>
    </w:r>
    <w:r>
      <w:t>TLIX0014X Manage customer focussed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BB8" w:rsidP="00C53D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CD" w:rsidRPr="002D2AF8" w:rsidP="00C53DCD">
    <w:pPr>
      <w:pStyle w:val="Header"/>
      <w:framePr w:wrap="around"/>
    </w:pPr>
    <w:r>
      <w:fldChar w:fldCharType="begin"/>
    </w:r>
    <w:r>
      <w:instrText xml:space="preserve"> TITLE   \* MERGEFORMAT </w:instrText>
    </w:r>
    <w:r>
      <w:fldChar w:fldCharType="separate"/>
    </w:r>
    <w:r w:rsidR="00F40BB8">
      <w:t>TLIX0014X Manage customer focussed supply chain</w:t>
    </w:r>
    <w:r w:rsidR="00F40BB8">
      <w:fldChar w:fldCharType="end"/>
    </w:r>
    <w:r>
      <w:tab/>
      <w:t xml:space="preserve">Date this document was generated: </w:t>
    </w:r>
    <w:r>
      <w:fldChar w:fldCharType="begin"/>
    </w:r>
    <w:r>
      <w:instrText xml:space="preserve"> CREATEDATE  \@ "d MMMM yyyy"  \* MERGEFORMAT </w:instrText>
    </w:r>
    <w:r>
      <w:fldChar w:fldCharType="separate"/>
    </w:r>
    <w:r w:rsidR="00F40BB8">
      <w:rPr>
        <w:noProof/>
      </w:rPr>
      <w:t>2 March 2025</w:t>
    </w:r>
    <w:r>
      <w:fldChar w:fldCharType="end"/>
    </w:r>
  </w:p>
  <w:p w:rsidR="00C53DCD" w:rsidP="00C53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08D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42D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DCD"/>
    <w:pPr>
      <w:spacing w:before="360" w:after="60"/>
      <w:outlineLvl w:val="0"/>
    </w:pPr>
    <w:rPr>
      <w:sz w:val="32"/>
    </w:rPr>
  </w:style>
  <w:style w:type="paragraph" w:styleId="Heading2">
    <w:name w:val="heading 2"/>
    <w:basedOn w:val="HeadingBase"/>
    <w:next w:val="BodyText"/>
    <w:link w:val="Heading2Char"/>
    <w:qFormat/>
    <w:rsid w:val="00C53DCD"/>
    <w:pPr>
      <w:keepLines/>
      <w:spacing w:before="240" w:after="120"/>
      <w:outlineLvl w:val="1"/>
    </w:pPr>
    <w:rPr>
      <w:sz w:val="28"/>
      <w:szCs w:val="40"/>
    </w:rPr>
  </w:style>
  <w:style w:type="paragraph" w:styleId="Heading3">
    <w:name w:val="heading 3"/>
    <w:basedOn w:val="HeadingBase"/>
    <w:next w:val="BodyText"/>
    <w:link w:val="Heading3Char"/>
    <w:qFormat/>
    <w:rsid w:val="00C53DCD"/>
    <w:pPr>
      <w:spacing w:before="180" w:after="120"/>
      <w:outlineLvl w:val="2"/>
    </w:pPr>
    <w:rPr>
      <w:spacing w:val="-10"/>
      <w:kern w:val="32"/>
    </w:rPr>
  </w:style>
  <w:style w:type="paragraph" w:styleId="Heading4">
    <w:name w:val="heading 4"/>
    <w:basedOn w:val="HeadingBase"/>
    <w:next w:val="BodyText"/>
    <w:link w:val="Heading4Char"/>
    <w:qFormat/>
    <w:rsid w:val="00C53DCD"/>
    <w:pPr>
      <w:spacing w:before="160" w:after="120"/>
      <w:outlineLvl w:val="3"/>
    </w:pPr>
    <w:rPr>
      <w:sz w:val="22"/>
    </w:rPr>
  </w:style>
  <w:style w:type="paragraph" w:styleId="Heading5">
    <w:name w:val="heading 5"/>
    <w:basedOn w:val="HeadingBase"/>
    <w:next w:val="Normal"/>
    <w:link w:val="Heading5Char"/>
    <w:qFormat/>
    <w:rsid w:val="00C53DCD"/>
    <w:pPr>
      <w:spacing w:before="80"/>
      <w:outlineLvl w:val="4"/>
    </w:pPr>
    <w:rPr>
      <w:color w:val="918585"/>
      <w:sz w:val="20"/>
    </w:rPr>
  </w:style>
  <w:style w:type="paragraph" w:styleId="Heading6">
    <w:name w:val="heading 6"/>
    <w:basedOn w:val="HeadingBase"/>
    <w:next w:val="Normal"/>
    <w:link w:val="Heading6Char"/>
    <w:qFormat/>
    <w:rsid w:val="00C53DCD"/>
    <w:pPr>
      <w:spacing w:before="60"/>
      <w:outlineLvl w:val="5"/>
    </w:pPr>
    <w:rPr>
      <w:color w:val="918585"/>
      <w:sz w:val="20"/>
    </w:rPr>
  </w:style>
  <w:style w:type="paragraph" w:styleId="Heading7">
    <w:name w:val="heading 7"/>
    <w:basedOn w:val="Normal"/>
    <w:next w:val="Normal"/>
    <w:link w:val="Heading7Char"/>
    <w:qFormat/>
    <w:rsid w:val="00C53DCD"/>
    <w:pPr>
      <w:ind w:left="720"/>
      <w:outlineLvl w:val="6"/>
    </w:pPr>
    <w:rPr>
      <w:i/>
    </w:rPr>
  </w:style>
  <w:style w:type="paragraph" w:styleId="Heading8">
    <w:name w:val="heading 8"/>
    <w:basedOn w:val="Normal"/>
    <w:next w:val="Normal"/>
    <w:link w:val="Heading8Char"/>
    <w:qFormat/>
    <w:rsid w:val="00C53DCD"/>
    <w:pPr>
      <w:ind w:left="720"/>
      <w:outlineLvl w:val="7"/>
    </w:pPr>
    <w:rPr>
      <w:i/>
    </w:rPr>
  </w:style>
  <w:style w:type="paragraph" w:styleId="Heading9">
    <w:name w:val="heading 9"/>
    <w:basedOn w:val="Normal"/>
    <w:next w:val="Normal"/>
    <w:link w:val="Heading9Char"/>
    <w:qFormat/>
    <w:rsid w:val="00C53DCD"/>
    <w:pPr>
      <w:ind w:left="720"/>
      <w:outlineLvl w:val="8"/>
    </w:pPr>
    <w:rPr>
      <w:i/>
    </w:rPr>
  </w:style>
  <w:style w:type="character" w:default="1" w:styleId="DefaultParagraphFont">
    <w:name w:val="Default Paragraph Font"/>
    <w:uiPriority w:val="1"/>
    <w:unhideWhenUsed/>
    <w:rsid w:val="00C53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DCD"/>
  </w:style>
  <w:style w:type="character" w:customStyle="1" w:styleId="Heading1Char">
    <w:name w:val="Heading 1 Char"/>
    <w:basedOn w:val="DefaultParagraphFont"/>
    <w:link w:val="Heading1"/>
    <w:rsid w:val="00C53DCD"/>
    <w:rPr>
      <w:rFonts w:ascii="Times New Roman" w:eastAsia="Times New Roman" w:hAnsi="Times New Roman" w:cs="Times New Roman"/>
      <w:b/>
      <w:sz w:val="32"/>
      <w:szCs w:val="20"/>
      <w:lang w:eastAsia="en-US"/>
    </w:rPr>
  </w:style>
  <w:style w:type="paragraph" w:styleId="BodyText">
    <w:name w:val="Body Text"/>
    <w:basedOn w:val="Normal"/>
    <w:link w:val="BodyTextChar"/>
    <w:rsid w:val="00C53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DCD"/>
    <w:rPr>
      <w:rFonts w:ascii="Times New Roman" w:eastAsia="Times New Roman" w:hAnsi="Times New Roman" w:cs="Times New Roman"/>
      <w:sz w:val="24"/>
      <w:lang w:eastAsia="en-US"/>
    </w:rPr>
  </w:style>
  <w:style w:type="paragraph" w:styleId="ListBullet">
    <w:name w:val="List Bullet"/>
    <w:basedOn w:val="List"/>
    <w:rsid w:val="00C53DCD"/>
    <w:pPr>
      <w:numPr>
        <w:numId w:val="11"/>
      </w:numPr>
      <w:tabs>
        <w:tab w:val="clear" w:pos="340"/>
      </w:tabs>
      <w:spacing w:before="40" w:after="40"/>
    </w:pPr>
  </w:style>
  <w:style w:type="character" w:customStyle="1" w:styleId="SpecialBold">
    <w:name w:val="Special Bold"/>
    <w:basedOn w:val="DefaultParagraphFont"/>
    <w:rsid w:val="00C53DCD"/>
    <w:rPr>
      <w:b/>
      <w:spacing w:val="0"/>
    </w:rPr>
  </w:style>
  <w:style w:type="paragraph" w:customStyle="1" w:styleId="SuperHeading">
    <w:name w:val="SuperHeading"/>
    <w:basedOn w:val="Normal"/>
    <w:rsid w:val="00C53DCD"/>
    <w:pPr>
      <w:spacing w:before="240" w:after="120"/>
      <w:outlineLvl w:val="0"/>
    </w:pPr>
    <w:rPr>
      <w:rFonts w:ascii="Times New Roman" w:hAnsi="Times New Roman"/>
      <w:b/>
      <w:sz w:val="32"/>
    </w:rPr>
  </w:style>
  <w:style w:type="paragraph" w:customStyle="1" w:styleId="AllowPageBreak">
    <w:name w:val="AllowPageBreak"/>
    <w:rsid w:val="00C53D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3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DCD"/>
    <w:rPr>
      <w:rFonts w:ascii="Courier New" w:eastAsia="Times New Roman" w:hAnsi="Courier New" w:cs="Times New Roman"/>
      <w:i/>
      <w:szCs w:val="20"/>
      <w:lang w:eastAsia="en-US"/>
    </w:rPr>
  </w:style>
  <w:style w:type="paragraph" w:customStyle="1" w:styleId="HeadingBase">
    <w:name w:val="Heading Base"/>
    <w:rsid w:val="00C53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DCD"/>
    <w:pPr>
      <w:tabs>
        <w:tab w:val="right" w:leader="dot" w:pos="9072"/>
      </w:tabs>
      <w:ind w:left="567"/>
    </w:pPr>
    <w:rPr>
      <w:szCs w:val="22"/>
    </w:rPr>
  </w:style>
  <w:style w:type="paragraph" w:customStyle="1" w:styleId="TOCBase">
    <w:name w:val="TOC Base"/>
    <w:rsid w:val="00C53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DCD"/>
    <w:pPr>
      <w:tabs>
        <w:tab w:val="right" w:leader="dot" w:pos="9072"/>
      </w:tabs>
      <w:spacing w:before="40" w:after="40"/>
      <w:ind w:left="284"/>
    </w:pPr>
    <w:rPr>
      <w:rFonts w:ascii="Times New Roman" w:hAnsi="Times New Roman"/>
    </w:rPr>
  </w:style>
  <w:style w:type="paragraph" w:styleId="TOC1">
    <w:name w:val="toc 1"/>
    <w:basedOn w:val="TOCBase"/>
    <w:next w:val="Normal"/>
    <w:rsid w:val="00C53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DCD"/>
    <w:rPr>
      <w:rFonts w:ascii="Times New Roman" w:eastAsia="Times New Roman" w:hAnsi="Times New Roman" w:cs="Times New Roman"/>
      <w:sz w:val="16"/>
      <w:lang w:eastAsia="en-US"/>
    </w:rPr>
  </w:style>
  <w:style w:type="paragraph" w:styleId="Title">
    <w:name w:val="Title"/>
    <w:basedOn w:val="HeadingBase"/>
    <w:link w:val="TitleChar"/>
    <w:qFormat/>
    <w:rsid w:val="00C53DCD"/>
    <w:pPr>
      <w:spacing w:before="5040"/>
      <w:jc w:val="center"/>
    </w:pPr>
    <w:rPr>
      <w:sz w:val="48"/>
      <w:szCs w:val="72"/>
      <w:lang w:val="en-US"/>
    </w:rPr>
  </w:style>
  <w:style w:type="character" w:customStyle="1" w:styleId="TitleChar">
    <w:name w:val="Title Char"/>
    <w:basedOn w:val="DefaultParagraphFont"/>
    <w:link w:val="Title"/>
    <w:rsid w:val="00C53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DCD"/>
    <w:pPr>
      <w:tabs>
        <w:tab w:val="left" w:pos="3600"/>
        <w:tab w:val="left" w:pos="3958"/>
      </w:tabs>
    </w:pPr>
  </w:style>
  <w:style w:type="paragraph" w:styleId="List">
    <w:name w:val="List"/>
    <w:basedOn w:val="BodyText"/>
    <w:next w:val="BodyText"/>
    <w:rsid w:val="00C53DCD"/>
    <w:pPr>
      <w:tabs>
        <w:tab w:val="left" w:pos="340"/>
      </w:tabs>
      <w:spacing w:before="60" w:after="60"/>
      <w:ind w:left="340" w:hanging="340"/>
    </w:pPr>
  </w:style>
  <w:style w:type="paragraph" w:customStyle="1" w:styleId="Note">
    <w:name w:val="Note"/>
    <w:basedOn w:val="BodyText"/>
    <w:rsid w:val="00C53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DCD"/>
    <w:pPr>
      <w:framePr w:wrap="auto" w:hAnchor="text" w:y="6049"/>
    </w:pPr>
    <w:rPr>
      <w:color w:val="000000"/>
      <w:sz w:val="40"/>
    </w:rPr>
  </w:style>
  <w:style w:type="paragraph" w:customStyle="1" w:styleId="TOCTitle">
    <w:name w:val="TOCTitle"/>
    <w:basedOn w:val="Heading1"/>
    <w:rsid w:val="00C53DCD"/>
    <w:pPr>
      <w:spacing w:after="240"/>
      <w:jc w:val="center"/>
      <w:outlineLvl w:val="9"/>
    </w:pPr>
    <w:rPr>
      <w:caps/>
    </w:rPr>
  </w:style>
  <w:style w:type="paragraph" w:customStyle="1" w:styleId="Version">
    <w:name w:val="Version"/>
    <w:rsid w:val="00C53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DCD"/>
    <w:pPr>
      <w:numPr>
        <w:numId w:val="12"/>
      </w:numPr>
      <w:tabs>
        <w:tab w:val="clear" w:pos="680"/>
      </w:tabs>
    </w:pPr>
  </w:style>
  <w:style w:type="paragraph" w:styleId="Index1">
    <w:name w:val="index 1"/>
    <w:basedOn w:val="Normal"/>
    <w:next w:val="Normal"/>
    <w:semiHidden/>
    <w:rsid w:val="00C53DCD"/>
    <w:pPr>
      <w:keepNext w:val="0"/>
      <w:tabs>
        <w:tab w:val="right" w:pos="4176"/>
      </w:tabs>
      <w:ind w:left="198" w:hanging="198"/>
    </w:pPr>
    <w:rPr>
      <w:rFonts w:ascii="Garamond" w:hAnsi="Garamond"/>
    </w:rPr>
  </w:style>
  <w:style w:type="paragraph" w:styleId="IndexHeading">
    <w:name w:val="index heading"/>
    <w:basedOn w:val="Normal"/>
    <w:next w:val="Index1"/>
    <w:semiHidden/>
    <w:rsid w:val="00C53DCD"/>
    <w:pPr>
      <w:spacing w:before="120" w:after="120"/>
    </w:pPr>
    <w:rPr>
      <w:rFonts w:ascii="Arial" w:hAnsi="Arial"/>
      <w:b/>
      <w:color w:val="918585"/>
      <w:sz w:val="24"/>
    </w:rPr>
  </w:style>
  <w:style w:type="paragraph" w:styleId="Header">
    <w:name w:val="header"/>
    <w:basedOn w:val="Normal"/>
    <w:link w:val="HeaderChar"/>
    <w:rsid w:val="00C53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DCD"/>
    <w:rPr>
      <w:rFonts w:ascii="Times New Roman" w:eastAsia="Times New Roman" w:hAnsi="Times New Roman" w:cs="Times New Roman"/>
      <w:sz w:val="16"/>
      <w:szCs w:val="20"/>
      <w:lang w:val="en-GB" w:eastAsia="en-US"/>
    </w:rPr>
  </w:style>
  <w:style w:type="paragraph" w:customStyle="1" w:styleId="Chapter">
    <w:name w:val="Chapter"/>
    <w:basedOn w:val="Normal"/>
    <w:rsid w:val="00C53DCD"/>
    <w:pPr>
      <w:spacing w:before="240"/>
    </w:pPr>
    <w:rPr>
      <w:rFonts w:ascii="Times New Roman" w:hAnsi="Times New Roman"/>
      <w:smallCaps/>
      <w:spacing w:val="80"/>
      <w:sz w:val="28"/>
    </w:rPr>
  </w:style>
  <w:style w:type="paragraph" w:customStyle="1" w:styleId="InChapter">
    <w:name w:val="InChapter"/>
    <w:basedOn w:val="Heading3"/>
    <w:rsid w:val="00C53DCD"/>
    <w:pPr>
      <w:spacing w:after="240"/>
      <w:outlineLvl w:val="9"/>
    </w:pPr>
    <w:rPr>
      <w:noProof/>
    </w:rPr>
  </w:style>
  <w:style w:type="paragraph" w:styleId="Index2">
    <w:name w:val="index 2"/>
    <w:basedOn w:val="Normal"/>
    <w:next w:val="Normal"/>
    <w:semiHidden/>
    <w:rsid w:val="00C53DCD"/>
    <w:pPr>
      <w:tabs>
        <w:tab w:val="right" w:pos="4176"/>
      </w:tabs>
      <w:ind w:left="568" w:hanging="284"/>
    </w:pPr>
    <w:rPr>
      <w:rFonts w:ascii="Garamond" w:hAnsi="Garamond"/>
    </w:rPr>
  </w:style>
  <w:style w:type="paragraph" w:customStyle="1" w:styleId="Byline">
    <w:name w:val="Byline"/>
    <w:rsid w:val="00C53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DCD"/>
    <w:pPr>
      <w:tabs>
        <w:tab w:val="clear" w:pos="3600"/>
        <w:tab w:val="clear" w:pos="3958"/>
      </w:tabs>
      <w:jc w:val="right"/>
    </w:pPr>
  </w:style>
  <w:style w:type="character" w:styleId="Emphasis">
    <w:name w:val="Emphasis"/>
    <w:basedOn w:val="DefaultParagraphFont"/>
    <w:qFormat/>
    <w:rsid w:val="00C53DCD"/>
    <w:rPr>
      <w:i/>
    </w:rPr>
  </w:style>
  <w:style w:type="paragraph" w:styleId="Caption">
    <w:name w:val="caption"/>
    <w:basedOn w:val="BodyText"/>
    <w:next w:val="Normal"/>
    <w:qFormat/>
    <w:rsid w:val="00C53DCD"/>
    <w:pPr>
      <w:framePr w:w="2268" w:hSpace="181" w:vSpace="181" w:wrap="around" w:vAnchor="text" w:hAnchor="page" w:x="1135" w:y="285" w:anchorLock="1"/>
    </w:pPr>
    <w:rPr>
      <w:i/>
    </w:rPr>
  </w:style>
  <w:style w:type="paragraph" w:customStyle="1" w:styleId="MiniTOCTitle">
    <w:name w:val="MiniTOCTitle"/>
    <w:basedOn w:val="Heading4"/>
    <w:rsid w:val="00C53DCD"/>
    <w:pPr>
      <w:spacing w:before="240"/>
      <w:outlineLvl w:val="9"/>
    </w:pPr>
    <w:rPr>
      <w:noProof/>
      <w:sz w:val="24"/>
    </w:rPr>
  </w:style>
  <w:style w:type="paragraph" w:customStyle="1" w:styleId="MiniTOCItem">
    <w:name w:val="MiniTOCItem"/>
    <w:basedOn w:val="ListBullet"/>
    <w:rsid w:val="00C53DCD"/>
    <w:pPr>
      <w:numPr>
        <w:numId w:val="0"/>
      </w:numPr>
      <w:tabs>
        <w:tab w:val="right" w:leader="dot" w:pos="6521"/>
      </w:tabs>
      <w:spacing w:before="0" w:after="0"/>
    </w:pPr>
  </w:style>
  <w:style w:type="paragraph" w:customStyle="1" w:styleId="TOFTitle">
    <w:name w:val="TOFTitle"/>
    <w:basedOn w:val="TOCTitle"/>
    <w:rsid w:val="00C53DCD"/>
  </w:style>
  <w:style w:type="paragraph" w:styleId="TableofFigures">
    <w:name w:val="table of figures"/>
    <w:basedOn w:val="Normal"/>
    <w:next w:val="Normal"/>
    <w:semiHidden/>
    <w:rsid w:val="00C53DCD"/>
    <w:pPr>
      <w:tabs>
        <w:tab w:val="right" w:leader="dot" w:pos="9072"/>
      </w:tabs>
      <w:ind w:left="970" w:hanging="403"/>
    </w:pPr>
    <w:rPr>
      <w:rFonts w:ascii="Times New Roman" w:hAnsi="Times New Roman"/>
      <w:b/>
    </w:rPr>
  </w:style>
  <w:style w:type="paragraph" w:styleId="ListNumber">
    <w:name w:val="List Number"/>
    <w:basedOn w:val="List"/>
    <w:rsid w:val="00C53DCD"/>
    <w:pPr>
      <w:numPr>
        <w:numId w:val="14"/>
      </w:numPr>
      <w:tabs>
        <w:tab w:val="clear" w:pos="340"/>
      </w:tabs>
    </w:pPr>
  </w:style>
  <w:style w:type="character" w:customStyle="1" w:styleId="WingdingSymbols">
    <w:name w:val="Wingding Symbols"/>
    <w:rsid w:val="00C53DCD"/>
    <w:rPr>
      <w:rFonts w:ascii="Wingdings" w:hAnsi="Wingdings"/>
    </w:rPr>
  </w:style>
  <w:style w:type="paragraph" w:customStyle="1" w:styleId="TableHeading">
    <w:name w:val="Table Heading"/>
    <w:basedOn w:val="HeadingBase"/>
    <w:rsid w:val="00C53DCD"/>
    <w:pPr>
      <w:keepLines/>
      <w:pBdr>
        <w:bottom w:val="single" w:sz="6" w:space="1" w:color="918585"/>
      </w:pBdr>
      <w:spacing w:before="240"/>
    </w:pPr>
  </w:style>
  <w:style w:type="character" w:customStyle="1" w:styleId="HotSpot">
    <w:name w:val="HotSpot"/>
    <w:rsid w:val="00C53DCD"/>
    <w:rPr>
      <w:color w:val="0033CC"/>
      <w:u w:val="none"/>
    </w:rPr>
  </w:style>
  <w:style w:type="paragraph" w:customStyle="1" w:styleId="BodyTextRight">
    <w:name w:val="Body Text Right"/>
    <w:basedOn w:val="BodyText"/>
    <w:rsid w:val="00C53DCD"/>
    <w:pPr>
      <w:spacing w:before="0" w:after="0"/>
      <w:jc w:val="right"/>
    </w:pPr>
  </w:style>
  <w:style w:type="paragraph" w:styleId="Index3">
    <w:name w:val="index 3"/>
    <w:basedOn w:val="ListNumber2"/>
    <w:next w:val="Normal"/>
    <w:semiHidden/>
    <w:rsid w:val="00C53DCD"/>
    <w:pPr>
      <w:numPr>
        <w:numId w:val="0"/>
      </w:numPr>
      <w:tabs>
        <w:tab w:val="right" w:leader="dot" w:pos="4176"/>
      </w:tabs>
    </w:pPr>
  </w:style>
  <w:style w:type="paragraph" w:styleId="ListNumber2">
    <w:name w:val="List Number 2"/>
    <w:basedOn w:val="List2"/>
    <w:rsid w:val="00C53DCD"/>
    <w:pPr>
      <w:numPr>
        <w:numId w:val="9"/>
      </w:numPr>
      <w:tabs>
        <w:tab w:val="clear" w:pos="1060"/>
      </w:tabs>
    </w:pPr>
  </w:style>
  <w:style w:type="paragraph" w:customStyle="1" w:styleId="MarginNote">
    <w:name w:val="Margin Note"/>
    <w:basedOn w:val="BodyText"/>
    <w:rsid w:val="00C53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DCD"/>
    <w:rPr>
      <w:sz w:val="32"/>
    </w:rPr>
  </w:style>
  <w:style w:type="paragraph" w:customStyle="1" w:styleId="HeadingProcedure">
    <w:name w:val="Heading Procedure"/>
    <w:basedOn w:val="HeadingBase"/>
    <w:next w:val="Normal"/>
    <w:rsid w:val="00C53DCD"/>
    <w:pPr>
      <w:tabs>
        <w:tab w:val="left" w:pos="0"/>
      </w:tabs>
      <w:spacing w:before="120" w:after="60"/>
    </w:pPr>
    <w:rPr>
      <w:i/>
      <w:color w:val="918585"/>
      <w:sz w:val="22"/>
    </w:rPr>
  </w:style>
  <w:style w:type="paragraph" w:customStyle="1" w:styleId="TableBodyText">
    <w:name w:val="Table Body Text"/>
    <w:basedOn w:val="BodyText"/>
    <w:rsid w:val="00C53DCD"/>
    <w:pPr>
      <w:spacing w:before="60" w:after="60"/>
    </w:pPr>
  </w:style>
  <w:style w:type="paragraph" w:styleId="ListContinue">
    <w:name w:val="List Continue"/>
    <w:basedOn w:val="List"/>
    <w:rsid w:val="00C53DCD"/>
    <w:pPr>
      <w:ind w:firstLine="0"/>
    </w:pPr>
  </w:style>
  <w:style w:type="paragraph" w:customStyle="1" w:styleId="ListNote">
    <w:name w:val="List Note"/>
    <w:basedOn w:val="List"/>
    <w:rsid w:val="00C53DCD"/>
    <w:pPr>
      <w:pBdr>
        <w:top w:val="single" w:sz="6" w:space="2" w:color="918585"/>
        <w:bottom w:val="single" w:sz="6" w:space="2" w:color="918585"/>
      </w:pBdr>
      <w:tabs>
        <w:tab w:val="left" w:pos="1021"/>
      </w:tabs>
      <w:ind w:firstLine="0"/>
    </w:pPr>
  </w:style>
  <w:style w:type="paragraph" w:customStyle="1" w:styleId="Warning">
    <w:name w:val="Warning"/>
    <w:basedOn w:val="BodyText"/>
    <w:rsid w:val="00C53DCD"/>
    <w:pPr>
      <w:shd w:val="clear" w:color="auto" w:fill="D9D9D9"/>
      <w:tabs>
        <w:tab w:val="left" w:pos="992"/>
      </w:tabs>
      <w:ind w:left="119" w:right="119"/>
    </w:pPr>
    <w:rPr>
      <w:sz w:val="20"/>
    </w:rPr>
  </w:style>
  <w:style w:type="paragraph" w:customStyle="1" w:styleId="MarginIcons">
    <w:name w:val="Margin Icons"/>
    <w:basedOn w:val="BodyText"/>
    <w:rsid w:val="00C53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DCD"/>
    <w:rPr>
      <w:rFonts w:ascii="Courier New" w:hAnsi="Courier New"/>
    </w:rPr>
  </w:style>
  <w:style w:type="paragraph" w:customStyle="1" w:styleId="NoteBullet">
    <w:name w:val="Note Bullet"/>
    <w:basedOn w:val="Note"/>
    <w:rsid w:val="00C53DCD"/>
    <w:pPr>
      <w:tabs>
        <w:tab w:val="clear" w:pos="680"/>
      </w:tabs>
      <w:spacing w:before="60" w:after="60"/>
    </w:pPr>
  </w:style>
  <w:style w:type="paragraph" w:customStyle="1" w:styleId="SubHeading2">
    <w:name w:val="SubHeading2"/>
    <w:basedOn w:val="HeadingBase"/>
    <w:rsid w:val="00C53DCD"/>
    <w:pPr>
      <w:spacing w:before="240" w:after="60"/>
    </w:pPr>
    <w:rPr>
      <w:sz w:val="20"/>
    </w:rPr>
  </w:style>
  <w:style w:type="paragraph" w:customStyle="1" w:styleId="SubHeading1">
    <w:name w:val="SubHeading1"/>
    <w:basedOn w:val="HeadingBase"/>
    <w:rsid w:val="00C53DCD"/>
    <w:pPr>
      <w:spacing w:before="240" w:after="60"/>
    </w:pPr>
    <w:rPr>
      <w:color w:val="918585"/>
      <w:sz w:val="22"/>
    </w:rPr>
  </w:style>
  <w:style w:type="paragraph" w:customStyle="1" w:styleId="SideHeading">
    <w:name w:val="Side Heading"/>
    <w:basedOn w:val="HeadingBase"/>
    <w:rsid w:val="00C53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DCD"/>
    <w:pPr>
      <w:numPr>
        <w:numId w:val="10"/>
      </w:numPr>
    </w:pPr>
  </w:style>
  <w:style w:type="paragraph" w:styleId="PlainText">
    <w:name w:val="Plain Text"/>
    <w:basedOn w:val="Normal"/>
    <w:link w:val="PlainTextChar"/>
    <w:rsid w:val="00C53DCD"/>
    <w:rPr>
      <w:sz w:val="20"/>
    </w:rPr>
  </w:style>
  <w:style w:type="character" w:customStyle="1" w:styleId="PlainTextChar">
    <w:name w:val="Plain Text Char"/>
    <w:basedOn w:val="DefaultParagraphFont"/>
    <w:link w:val="PlainText"/>
    <w:rsid w:val="00C53DCD"/>
    <w:rPr>
      <w:rFonts w:ascii="Courier New" w:eastAsia="Times New Roman" w:hAnsi="Courier New" w:cs="Times New Roman"/>
      <w:sz w:val="20"/>
      <w:szCs w:val="20"/>
      <w:lang w:eastAsia="en-US"/>
    </w:rPr>
  </w:style>
  <w:style w:type="character" w:customStyle="1" w:styleId="MenuOption">
    <w:name w:val="Menu Option"/>
    <w:basedOn w:val="DefaultParagraphFont"/>
    <w:rsid w:val="00C53DCD"/>
    <w:rPr>
      <w:b/>
      <w:smallCaps/>
    </w:rPr>
  </w:style>
  <w:style w:type="paragraph" w:customStyle="1" w:styleId="TableListNumber">
    <w:name w:val="Table List Number"/>
    <w:basedOn w:val="ListNumber"/>
    <w:rsid w:val="00C53DCD"/>
    <w:pPr>
      <w:numPr>
        <w:numId w:val="0"/>
      </w:numPr>
    </w:pPr>
  </w:style>
  <w:style w:type="paragraph" w:styleId="TOC4">
    <w:name w:val="toc 4"/>
    <w:basedOn w:val="TOCBase"/>
    <w:next w:val="Normal"/>
    <w:semiHidden/>
    <w:rsid w:val="00C53DCD"/>
    <w:pPr>
      <w:tabs>
        <w:tab w:val="right" w:leader="dot" w:pos="9071"/>
      </w:tabs>
      <w:ind w:left="1701"/>
    </w:pPr>
  </w:style>
  <w:style w:type="paragraph" w:customStyle="1" w:styleId="ListAlpha">
    <w:name w:val="List Alpha"/>
    <w:basedOn w:val="List"/>
    <w:rsid w:val="00C53DCD"/>
    <w:pPr>
      <w:numPr>
        <w:numId w:val="8"/>
      </w:numPr>
    </w:pPr>
  </w:style>
  <w:style w:type="paragraph" w:customStyle="1" w:styleId="ListAlpha2">
    <w:name w:val="List Alpha 2"/>
    <w:basedOn w:val="List2"/>
    <w:rsid w:val="00C53DCD"/>
    <w:pPr>
      <w:numPr>
        <w:numId w:val="7"/>
      </w:numPr>
    </w:pPr>
  </w:style>
  <w:style w:type="paragraph" w:styleId="List2">
    <w:name w:val="List 2"/>
    <w:basedOn w:val="BodyText"/>
    <w:rsid w:val="00C53DCD"/>
    <w:pPr>
      <w:tabs>
        <w:tab w:val="left" w:pos="680"/>
      </w:tabs>
      <w:spacing w:before="60" w:after="60"/>
      <w:ind w:left="680" w:hanging="340"/>
    </w:pPr>
  </w:style>
  <w:style w:type="paragraph" w:styleId="List3">
    <w:name w:val="List 3"/>
    <w:basedOn w:val="BodyText"/>
    <w:rsid w:val="00C53DCD"/>
    <w:pPr>
      <w:tabs>
        <w:tab w:val="left" w:pos="1021"/>
      </w:tabs>
      <w:spacing w:before="60" w:after="60"/>
      <w:ind w:left="1020" w:hanging="340"/>
    </w:pPr>
  </w:style>
  <w:style w:type="paragraph" w:styleId="List4">
    <w:name w:val="List 4"/>
    <w:basedOn w:val="BodyText"/>
    <w:rsid w:val="00C53DCD"/>
    <w:pPr>
      <w:tabs>
        <w:tab w:val="left" w:pos="1361"/>
      </w:tabs>
      <w:spacing w:before="60" w:after="60"/>
      <w:ind w:left="1361" w:hanging="340"/>
    </w:pPr>
  </w:style>
  <w:style w:type="paragraph" w:styleId="List5">
    <w:name w:val="List 5"/>
    <w:basedOn w:val="BodyText"/>
    <w:rsid w:val="00C53DCD"/>
    <w:pPr>
      <w:tabs>
        <w:tab w:val="left" w:pos="1701"/>
      </w:tabs>
      <w:spacing w:before="60" w:after="60"/>
      <w:ind w:left="1701" w:hanging="340"/>
    </w:pPr>
  </w:style>
  <w:style w:type="paragraph" w:styleId="ListBullet3">
    <w:name w:val="List Bullet 3"/>
    <w:basedOn w:val="List3"/>
    <w:rsid w:val="00C53DCD"/>
    <w:pPr>
      <w:numPr>
        <w:numId w:val="13"/>
      </w:numPr>
      <w:tabs>
        <w:tab w:val="clear" w:pos="1021"/>
      </w:tabs>
      <w:ind w:left="1037" w:hanging="357"/>
    </w:pPr>
  </w:style>
  <w:style w:type="paragraph" w:styleId="ListBullet4">
    <w:name w:val="List Bullet 4"/>
    <w:basedOn w:val="List4"/>
    <w:rsid w:val="00C53DCD"/>
    <w:pPr>
      <w:numPr>
        <w:numId w:val="2"/>
      </w:numPr>
      <w:tabs>
        <w:tab w:val="clear" w:pos="1361"/>
      </w:tabs>
    </w:pPr>
  </w:style>
  <w:style w:type="paragraph" w:styleId="ListBullet5">
    <w:name w:val="List Bullet 5"/>
    <w:basedOn w:val="List5"/>
    <w:rsid w:val="00C53DCD"/>
    <w:pPr>
      <w:numPr>
        <w:numId w:val="3"/>
      </w:numPr>
    </w:pPr>
  </w:style>
  <w:style w:type="paragraph" w:styleId="ListContinue2">
    <w:name w:val="List Continue 2"/>
    <w:basedOn w:val="List2"/>
    <w:rsid w:val="00C53DCD"/>
    <w:pPr>
      <w:ind w:firstLine="0"/>
    </w:pPr>
  </w:style>
  <w:style w:type="paragraph" w:styleId="ListContinue3">
    <w:name w:val="List Continue 3"/>
    <w:basedOn w:val="List3"/>
    <w:rsid w:val="00C53DCD"/>
    <w:pPr>
      <w:ind w:left="1021" w:firstLine="0"/>
    </w:pPr>
  </w:style>
  <w:style w:type="paragraph" w:styleId="ListContinue4">
    <w:name w:val="List Continue 4"/>
    <w:basedOn w:val="List4"/>
    <w:rsid w:val="00C53DCD"/>
    <w:pPr>
      <w:ind w:firstLine="0"/>
    </w:pPr>
  </w:style>
  <w:style w:type="paragraph" w:styleId="ListContinue5">
    <w:name w:val="List Continue 5"/>
    <w:basedOn w:val="List5"/>
    <w:rsid w:val="00C53DCD"/>
    <w:pPr>
      <w:ind w:firstLine="0"/>
    </w:pPr>
  </w:style>
  <w:style w:type="paragraph" w:styleId="ListNumber3">
    <w:name w:val="List Number 3"/>
    <w:basedOn w:val="List3"/>
    <w:rsid w:val="00C53DCD"/>
    <w:pPr>
      <w:numPr>
        <w:numId w:val="4"/>
      </w:numPr>
    </w:pPr>
  </w:style>
  <w:style w:type="paragraph" w:styleId="ListNumber4">
    <w:name w:val="List Number 4"/>
    <w:basedOn w:val="List4"/>
    <w:rsid w:val="00C53DCD"/>
    <w:pPr>
      <w:numPr>
        <w:numId w:val="5"/>
      </w:numPr>
    </w:pPr>
  </w:style>
  <w:style w:type="paragraph" w:styleId="ListNumber5">
    <w:name w:val="List Number 5"/>
    <w:basedOn w:val="List5"/>
    <w:rsid w:val="00C53DCD"/>
    <w:pPr>
      <w:numPr>
        <w:numId w:val="6"/>
      </w:numPr>
    </w:pPr>
  </w:style>
  <w:style w:type="paragraph" w:styleId="BlockText">
    <w:name w:val="Block Text"/>
    <w:basedOn w:val="Normal"/>
    <w:rsid w:val="00C53DCD"/>
    <w:pPr>
      <w:spacing w:after="120"/>
      <w:ind w:left="1440" w:right="1440"/>
    </w:pPr>
  </w:style>
  <w:style w:type="character" w:customStyle="1" w:styleId="Subscript">
    <w:name w:val="Subscript"/>
    <w:basedOn w:val="DefaultParagraphFont"/>
    <w:rsid w:val="00C53DCD"/>
    <w:rPr>
      <w:sz w:val="16"/>
      <w:vertAlign w:val="subscript"/>
    </w:rPr>
  </w:style>
  <w:style w:type="character" w:customStyle="1" w:styleId="Superscript">
    <w:name w:val="Superscript"/>
    <w:basedOn w:val="DefaultParagraphFont"/>
    <w:rsid w:val="00C53DCD"/>
    <w:rPr>
      <w:sz w:val="16"/>
      <w:vertAlign w:val="superscript"/>
    </w:rPr>
  </w:style>
  <w:style w:type="character" w:customStyle="1" w:styleId="Symbols">
    <w:name w:val="Symbols"/>
    <w:basedOn w:val="DefaultParagraphFont"/>
    <w:rsid w:val="00C53DCD"/>
    <w:rPr>
      <w:rFonts w:ascii="Symbol" w:hAnsi="Symbol"/>
    </w:rPr>
  </w:style>
  <w:style w:type="character" w:customStyle="1" w:styleId="MenuOptions">
    <w:name w:val="Menu Options"/>
    <w:basedOn w:val="DefaultParagraphFont"/>
    <w:rsid w:val="00C53DCD"/>
    <w:rPr>
      <w:rFonts w:ascii="Arial Narrow" w:hAnsi="Arial Narrow"/>
      <w:smallCaps/>
    </w:rPr>
  </w:style>
  <w:style w:type="character" w:customStyle="1" w:styleId="Buttons">
    <w:name w:val="Buttons"/>
    <w:basedOn w:val="DefaultParagraphFont"/>
    <w:rsid w:val="00C53DCD"/>
    <w:rPr>
      <w:b/>
    </w:rPr>
  </w:style>
  <w:style w:type="character" w:customStyle="1" w:styleId="Underlined">
    <w:name w:val="Underlined"/>
    <w:basedOn w:val="DefaultParagraphFont"/>
    <w:rsid w:val="00C53DCD"/>
    <w:rPr>
      <w:u w:val="single"/>
    </w:rPr>
  </w:style>
  <w:style w:type="paragraph" w:customStyle="1" w:styleId="TableBodyTextRight">
    <w:name w:val="Table Body Text Right"/>
    <w:basedOn w:val="TableBodyText"/>
    <w:rsid w:val="00C53DCD"/>
    <w:pPr>
      <w:widowControl w:val="0"/>
      <w:autoSpaceDE w:val="0"/>
      <w:autoSpaceDN w:val="0"/>
      <w:adjustRightInd w:val="0"/>
      <w:jc w:val="right"/>
    </w:pPr>
    <w:rPr>
      <w:rFonts w:cs="Arial"/>
      <w:szCs w:val="18"/>
    </w:rPr>
  </w:style>
  <w:style w:type="paragraph" w:customStyle="1" w:styleId="CopyrightText">
    <w:name w:val="Copyright Text"/>
    <w:basedOn w:val="BodyText"/>
    <w:rsid w:val="00C53DCD"/>
    <w:rPr>
      <w:sz w:val="18"/>
    </w:rPr>
  </w:style>
  <w:style w:type="paragraph" w:customStyle="1" w:styleId="BodySmallRight">
    <w:name w:val="Body Small Right"/>
    <w:basedOn w:val="BodyTextRight"/>
    <w:rsid w:val="00C53DCD"/>
    <w:rPr>
      <w:sz w:val="18"/>
      <w:szCs w:val="18"/>
    </w:rPr>
  </w:style>
  <w:style w:type="paragraph" w:customStyle="1" w:styleId="MarginEdition">
    <w:name w:val="Margin Edition"/>
    <w:basedOn w:val="MarginNote"/>
    <w:rsid w:val="00C53DCD"/>
    <w:pPr>
      <w:spacing w:before="0" w:after="0"/>
    </w:pPr>
    <w:rPr>
      <w:rFonts w:ascii="Times New Roman" w:hAnsi="Times New Roman"/>
      <w:color w:val="999999"/>
    </w:rPr>
  </w:style>
  <w:style w:type="paragraph" w:customStyle="1" w:styleId="Spacer">
    <w:name w:val="Spacer"/>
    <w:basedOn w:val="Normal"/>
    <w:rsid w:val="00C53DCD"/>
    <w:rPr>
      <w:sz w:val="2"/>
      <w:szCs w:val="2"/>
    </w:rPr>
  </w:style>
  <w:style w:type="character" w:customStyle="1" w:styleId="Small">
    <w:name w:val="Small"/>
    <w:basedOn w:val="DefaultParagraphFont"/>
    <w:rsid w:val="00C53DCD"/>
    <w:rPr>
      <w:sz w:val="16"/>
    </w:rPr>
  </w:style>
  <w:style w:type="paragraph" w:customStyle="1" w:styleId="WideTable">
    <w:name w:val="Wide Table"/>
    <w:basedOn w:val="Normal"/>
    <w:rsid w:val="00C53DCD"/>
    <w:pPr>
      <w:ind w:left="-1418"/>
    </w:pPr>
    <w:rPr>
      <w:sz w:val="2"/>
      <w:szCs w:val="2"/>
    </w:rPr>
  </w:style>
  <w:style w:type="character" w:styleId="PageNumber">
    <w:name w:val="page number"/>
    <w:basedOn w:val="DefaultParagraphFont"/>
    <w:rsid w:val="00C53DCD"/>
  </w:style>
  <w:style w:type="paragraph" w:styleId="Quote">
    <w:name w:val="Quote"/>
    <w:basedOn w:val="Heading1"/>
    <w:link w:val="QuoteChar"/>
    <w:qFormat/>
    <w:rsid w:val="00C53DCD"/>
    <w:rPr>
      <w:b w:val="0"/>
      <w:sz w:val="72"/>
      <w:szCs w:val="72"/>
      <w:lang w:val="en-NZ"/>
    </w:rPr>
  </w:style>
  <w:style w:type="character" w:customStyle="1" w:styleId="QuoteChar">
    <w:name w:val="Quote Char"/>
    <w:basedOn w:val="DefaultParagraphFont"/>
    <w:link w:val="Quote"/>
    <w:rsid w:val="00C53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DCD"/>
    <w:pPr>
      <w:pageBreakBefore/>
    </w:pPr>
  </w:style>
  <w:style w:type="paragraph" w:customStyle="1" w:styleId="Border">
    <w:name w:val="Border"/>
    <w:basedOn w:val="Normal"/>
    <w:qFormat/>
    <w:rsid w:val="00C53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DCD"/>
    <w:rPr>
      <w:b/>
      <w:bCs/>
      <w:i/>
      <w:iCs/>
      <w:color w:val="auto"/>
    </w:rPr>
  </w:style>
  <w:style w:type="paragraph" w:styleId="IntenseQuote">
    <w:name w:val="Intense Quote"/>
    <w:basedOn w:val="Normal"/>
    <w:next w:val="Normal"/>
    <w:link w:val="IntenseQuoteChar"/>
    <w:uiPriority w:val="30"/>
    <w:qFormat/>
    <w:rsid w:val="00C53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DCD"/>
    <w:rPr>
      <w:smallCaps/>
      <w:color w:val="auto"/>
      <w:u w:val="single"/>
    </w:rPr>
  </w:style>
  <w:style w:type="character" w:styleId="IntenseReference">
    <w:name w:val="Intense Reference"/>
    <w:basedOn w:val="DefaultParagraphFont"/>
    <w:uiPriority w:val="32"/>
    <w:qFormat/>
    <w:rsid w:val="00C53DCD"/>
    <w:rPr>
      <w:b/>
      <w:bCs/>
      <w:smallCaps/>
      <w:color w:val="auto"/>
      <w:spacing w:val="5"/>
      <w:u w:val="single"/>
    </w:rPr>
  </w:style>
  <w:style w:type="paragraph" w:customStyle="1" w:styleId="2ColumnHeading">
    <w:name w:val="2Column Heading"/>
    <w:basedOn w:val="BodyText"/>
    <w:qFormat/>
    <w:rsid w:val="00C53DCD"/>
    <w:pPr>
      <w:spacing w:after="60"/>
      <w:ind w:left="-2268"/>
    </w:pPr>
    <w:rPr>
      <w:b/>
    </w:rPr>
  </w:style>
  <w:style w:type="paragraph" w:customStyle="1" w:styleId="Heading1TOC">
    <w:name w:val="Heading1 TOC"/>
    <w:basedOn w:val="Normal"/>
    <w:qFormat/>
    <w:rsid w:val="00C53DCD"/>
    <w:pPr>
      <w:spacing w:before="240" w:after="120"/>
    </w:pPr>
    <w:rPr>
      <w:rFonts w:ascii="Times New Roman" w:hAnsi="Times New Roman"/>
      <w:b/>
      <w:sz w:val="32"/>
    </w:rPr>
  </w:style>
  <w:style w:type="paragraph" w:customStyle="1" w:styleId="Heading2TOC">
    <w:name w:val="Heading2 TOC"/>
    <w:basedOn w:val="Normal"/>
    <w:qFormat/>
    <w:rsid w:val="00C53DCD"/>
    <w:pPr>
      <w:spacing w:before="240" w:after="60"/>
    </w:pPr>
    <w:rPr>
      <w:rFonts w:ascii="Times New Roman" w:hAnsi="Times New Roman"/>
      <w:b/>
      <w:sz w:val="28"/>
    </w:rPr>
  </w:style>
  <w:style w:type="character" w:customStyle="1" w:styleId="Underline">
    <w:name w:val="Underline"/>
    <w:basedOn w:val="DefaultParagraphFont"/>
    <w:qFormat/>
    <w:rsid w:val="00C53DCD"/>
    <w:rPr>
      <w:u w:val="single"/>
    </w:rPr>
  </w:style>
  <w:style w:type="character" w:customStyle="1" w:styleId="BoldandItalics">
    <w:name w:val="Bold and Italics"/>
    <w:qFormat/>
    <w:rsid w:val="00C53DCD"/>
    <w:rPr>
      <w:b/>
      <w:i/>
      <w:u w:val="none"/>
    </w:rPr>
  </w:style>
  <w:style w:type="paragraph" w:styleId="BalloonText">
    <w:name w:val="Balloon Text"/>
    <w:basedOn w:val="Normal"/>
    <w:link w:val="BalloonTextChar"/>
    <w:rsid w:val="00C53DCD"/>
    <w:rPr>
      <w:rFonts w:ascii="Tahoma" w:hAnsi="Tahoma" w:cs="Tahoma"/>
      <w:sz w:val="16"/>
      <w:szCs w:val="16"/>
    </w:rPr>
  </w:style>
  <w:style w:type="character" w:customStyle="1" w:styleId="BalloonTextChar">
    <w:name w:val="Balloon Text Char"/>
    <w:basedOn w:val="DefaultParagraphFont"/>
    <w:link w:val="BalloonText"/>
    <w:rsid w:val="00C53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DCD"/>
    <w:rPr>
      <w:b/>
      <w:color w:val="660033"/>
      <w:spacing w:val="0"/>
    </w:rPr>
  </w:style>
  <w:style w:type="paragraph" w:customStyle="1" w:styleId="Nameditemlist">
    <w:name w:val="Named item list"/>
    <w:basedOn w:val="BodyText"/>
    <w:qFormat/>
    <w:rsid w:val="00C53DCD"/>
    <w:pPr>
      <w:tabs>
        <w:tab w:val="left" w:pos="2835"/>
      </w:tabs>
      <w:ind w:left="2835" w:hanging="2835"/>
    </w:pPr>
  </w:style>
  <w:style w:type="paragraph" w:customStyle="1" w:styleId="BodyTextnopadding">
    <w:name w:val="Body Text no padding"/>
    <w:basedOn w:val="BodyText"/>
    <w:qFormat/>
    <w:rsid w:val="00C53DCD"/>
    <w:pPr>
      <w:spacing w:before="0" w:after="0"/>
    </w:pPr>
  </w:style>
  <w:style w:type="paragraph" w:customStyle="1" w:styleId="BodyTextBold">
    <w:name w:val="Body Text Bold"/>
    <w:basedOn w:val="BodyText"/>
    <w:qFormat/>
    <w:rsid w:val="00C53DCD"/>
    <w:rPr>
      <w:b/>
    </w:rPr>
  </w:style>
  <w:style w:type="character" w:styleId="Hyperlink">
    <w:name w:val="Hyperlink"/>
    <w:basedOn w:val="DefaultParagraphFont"/>
    <w:uiPriority w:val="99"/>
    <w:unhideWhenUsed/>
    <w:rsid w:val="00F40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6793</Characters>
  <Application>Microsoft Office Word</Application>
  <DocSecurity>0</DocSecurity>
  <Lines>242</Lines>
  <Paragraphs>142</Paragraphs>
  <ScaleCrop>false</ScaleCrop>
  <Company>Author-it Software Corporation Ltd.</Company>
  <LinksUpToDate>false</LinksUpToDate>
  <CharactersWithSpaces>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TLIX0014X Manage customer focussed supply chain</dc:title>
  <dc:subject>Approved</dc:subject>
  <dc:creator>Industry Skills Australia</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