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64A" w:rsidP="002B564A">
      <w:pPr>
        <w:pStyle w:val="Title"/>
      </w:pPr>
      <w:r>
        <w:fldChar w:fldCharType="begin"/>
      </w:r>
      <w:r>
        <w:instrText xml:space="preserve"> TITLE   \* MERGEFORMAT </w:instrText>
      </w:r>
      <w:r>
        <w:fldChar w:fldCharType="separate"/>
      </w:r>
      <w:r>
        <w:t>Assessment Requirements for TLIX0013X Maintain stock control and receivals</w:t>
      </w:r>
      <w:r>
        <w:fldChar w:fldCharType="end"/>
      </w:r>
    </w:p>
    <w:p w:rsidR="002B564A" w:rsidP="002B564A">
      <w:pPr>
        <w:pStyle w:val="Version"/>
        <w:sectPr w:rsidSect="00CC2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26B5" w:rsidP="00CC26B5">
      <w:pPr>
        <w:pStyle w:val="SuperHeading"/>
      </w:pPr>
      <w:r w:rsidRPr="00CC26B5">
        <w:t>Assessment Requirements for TLIX0013X Maintain stock control and receivals</w:t>
      </w:r>
    </w:p>
    <w:p w:rsidR="00000000" w:rsidRPr="00CC26B5" w:rsidP="00CC26B5">
      <w:pPr>
        <w:pStyle w:val="Heading1"/>
      </w:pPr>
      <w:bookmarkStart w:id="1" w:name="O_1299255"/>
      <w:bookmarkEnd w:id="1"/>
      <w:r w:rsidRPr="00CC26B5">
        <w:t>Modification History</w:t>
      </w:r>
    </w:p>
    <w:tbl>
      <w:tblPr>
        <w:tblW w:w="9497" w:type="dxa"/>
        <w:tblLayout w:type="fixed"/>
        <w:tblCellMar>
          <w:left w:w="62" w:type="dxa"/>
          <w:right w:w="62" w:type="dxa"/>
        </w:tblCellMar>
        <w:tblLook w:val="0000"/>
      </w:tblPr>
      <w:tblGrid>
        <w:gridCol w:w="9497"/>
      </w:tblGrid>
      <w:tr w:rsidTr="00CC26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6B5" w:rsidP="00CC26B5">
            <w:pPr>
              <w:pStyle w:val="BodyText"/>
            </w:pPr>
            <w:r w:rsidRPr="00CC26B5">
              <w:rPr>
                <w:rStyle w:val="SpecialBold"/>
              </w:rPr>
              <w:t>Release 2.</w:t>
            </w:r>
            <w:r w:rsidRPr="00CC26B5">
              <w:t xml:space="preserve"> This is the second release of this unit of competency in the TLI Transport and Logistics Training Package.</w:t>
            </w:r>
          </w:p>
          <w:p w:rsidR="00000000" w:rsidRPr="00CC26B5" w:rsidP="00CC26B5">
            <w:pPr>
              <w:pStyle w:val="ListBullet2"/>
            </w:pPr>
            <w:r w:rsidRPr="00CC26B5">
              <w:t>Minor formatting changes in Elements and Performance Criteria</w:t>
            </w:r>
          </w:p>
          <w:p w:rsidR="00000000" w:rsidRPr="00CC26B5" w:rsidP="00CC26B5">
            <w:pPr>
              <w:pStyle w:val="BodyText"/>
            </w:pPr>
            <w:r w:rsidRPr="00CC26B5">
              <w:rPr>
                <w:rStyle w:val="SpecialBold"/>
              </w:rPr>
              <w:t>Release 1.</w:t>
            </w:r>
            <w:r w:rsidRPr="00CC26B5">
              <w:t xml:space="preserve"> This is the first release of this unit of competency in the TLI Transport and Logistics Training Package.</w:t>
            </w:r>
          </w:p>
        </w:tc>
      </w:tr>
    </w:tbl>
    <w:p w:rsidR="00000000" w:rsidRPr="00CC26B5" w:rsidP="00CC26B5">
      <w:pPr>
        <w:pStyle w:val="NoPaddingFontSize1"/>
      </w:pPr>
    </w:p>
    <w:p w:rsidR="00000000" w:rsidRPr="00CC26B5" w:rsidP="00CC26B5">
      <w:pPr>
        <w:pStyle w:val="AllowPageBreak"/>
      </w:pPr>
    </w:p>
    <w:p w:rsidR="00000000" w:rsidRPr="00CC26B5" w:rsidP="00CC26B5">
      <w:pPr>
        <w:pStyle w:val="Heading1"/>
      </w:pPr>
      <w:bookmarkStart w:id="2" w:name="O_1299254"/>
      <w:bookmarkEnd w:id="2"/>
      <w:r w:rsidRPr="00CC26B5">
        <w:t>Performance Evidence</w:t>
      </w:r>
    </w:p>
    <w:tbl>
      <w:tblPr>
        <w:tblW w:w="9497" w:type="dxa"/>
        <w:tblLayout w:type="fixed"/>
        <w:tblCellMar>
          <w:left w:w="62" w:type="dxa"/>
          <w:right w:w="62" w:type="dxa"/>
        </w:tblCellMar>
        <w:tblLook w:val="0000"/>
      </w:tblPr>
      <w:tblGrid>
        <w:gridCol w:w="9497"/>
      </w:tblGrid>
      <w:tr w:rsidTr="00CC26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26B5">
            <w:pPr>
              <w:pStyle w:val="BodyText"/>
              <w:rPr>
                <w:lang w:val="en-NZ"/>
              </w:rPr>
            </w:pPr>
            <w:r w:rsidRPr="00CC26B5">
              <w:t>Evidence required to demonstrate co</w:t>
            </w:r>
            <w:r w:rsidRPr="00CC26B5">
              <w:t>mpetence in this unit must be relevant to and satisfy all the requirements of the elements and performance criteria on at least one occasion and includes</w:t>
            </w:r>
          </w:p>
        </w:tc>
      </w:tr>
      <w:tr w:rsidTr="00CC26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6B5" w:rsidP="00CC26B5">
            <w:pPr>
              <w:pStyle w:val="ListBullet"/>
            </w:pPr>
            <w:r w:rsidRPr="00CC26B5">
              <w:t xml:space="preserve">assessing stock loss, wastage, excesses and discrepancies  </w:t>
            </w:r>
          </w:p>
          <w:p w:rsidR="00000000" w:rsidRPr="00CC26B5" w:rsidP="00CC26B5">
            <w:pPr>
              <w:pStyle w:val="ListBullet"/>
            </w:pPr>
            <w:r w:rsidRPr="00CC26B5">
              <w:tab/>
            </w:r>
            <w:r w:rsidRPr="00CC26B5">
              <w:t xml:space="preserve">completing stock orders and receivals within established timelines </w:t>
            </w:r>
          </w:p>
          <w:p w:rsidR="00000000" w:rsidRPr="00CC26B5" w:rsidP="00CC26B5">
            <w:pPr>
              <w:pStyle w:val="ListBullet"/>
            </w:pPr>
            <w:r w:rsidRPr="00CC26B5">
              <w:t>disposing of stock safely including hazardous substances</w:t>
            </w:r>
          </w:p>
          <w:p w:rsidR="00000000" w:rsidRPr="00CC26B5" w:rsidP="00CC26B5">
            <w:pPr>
              <w:pStyle w:val="ListBullet"/>
            </w:pPr>
            <w:r w:rsidRPr="00CC26B5">
              <w:t>forecasting stock and receivals using approved methods and tools</w:t>
            </w:r>
          </w:p>
          <w:p w:rsidR="00000000" w:rsidRPr="00CC26B5" w:rsidP="00CC26B5">
            <w:pPr>
              <w:pStyle w:val="ListBullet"/>
            </w:pPr>
            <w:r w:rsidRPr="00CC26B5">
              <w:t>identifying supply sources for different types of products</w:t>
            </w:r>
          </w:p>
          <w:p w:rsidR="00000000" w:rsidRPr="00CC26B5" w:rsidP="00CC26B5">
            <w:pPr>
              <w:pStyle w:val="ListBullet"/>
            </w:pPr>
            <w:r w:rsidRPr="00CC26B5">
              <w:t>identif</w:t>
            </w:r>
            <w:r w:rsidRPr="00CC26B5">
              <w:t xml:space="preserve">ying third party inventory control operations </w:t>
            </w:r>
          </w:p>
          <w:p w:rsidR="00000000" w:rsidRPr="00CC26B5" w:rsidP="00CC26B5">
            <w:pPr>
              <w:pStyle w:val="ListBullet"/>
            </w:pPr>
            <w:r w:rsidRPr="00CC26B5">
              <w:t xml:space="preserve">implementing cost effective stock purchasing and control systems </w:t>
            </w:r>
          </w:p>
          <w:p w:rsidR="00000000" w:rsidRPr="00CC26B5" w:rsidP="00CC26B5">
            <w:pPr>
              <w:pStyle w:val="ListBullet"/>
            </w:pPr>
            <w:r w:rsidRPr="00CC26B5">
              <w:tab/>
              <w:t>maintaining stock and receival data and records</w:t>
            </w:r>
          </w:p>
          <w:p w:rsidR="00000000" w:rsidRPr="00CC26B5" w:rsidP="00CC26B5">
            <w:pPr>
              <w:pStyle w:val="ListBullet"/>
            </w:pPr>
            <w:r w:rsidRPr="00CC26B5">
              <w:t>monitoring optimal safety stock placement and service level optimisation</w:t>
            </w:r>
          </w:p>
          <w:p w:rsidR="00000000" w:rsidRPr="00CC26B5" w:rsidP="00CC26B5">
            <w:pPr>
              <w:pStyle w:val="ListBullet"/>
            </w:pPr>
            <w:r w:rsidRPr="00CC26B5">
              <w:tab/>
              <w:t>monitoring stock con</w:t>
            </w:r>
            <w:r w:rsidRPr="00CC26B5">
              <w:t xml:space="preserve">trol systems, stock quality and cost effectiveness of supplies </w:t>
            </w:r>
          </w:p>
          <w:p w:rsidR="00000000" w:rsidRPr="00CC26B5" w:rsidP="00CC26B5">
            <w:pPr>
              <w:pStyle w:val="ListBullet"/>
            </w:pPr>
            <w:r w:rsidRPr="00CC26B5">
              <w:tab/>
              <w:t>performing stock audits</w:t>
            </w:r>
          </w:p>
          <w:p w:rsidR="00000000" w:rsidRPr="00CC26B5" w:rsidP="00CC26B5">
            <w:pPr>
              <w:pStyle w:val="ListBullet"/>
            </w:pPr>
            <w:r w:rsidRPr="00CC26B5">
              <w:tab/>
              <w:t xml:space="preserve">producing stock control reports </w:t>
            </w:r>
          </w:p>
          <w:p w:rsidR="00000000" w:rsidRPr="00CC26B5" w:rsidP="00CC26B5">
            <w:pPr>
              <w:pStyle w:val="ListBullet"/>
            </w:pPr>
            <w:r w:rsidRPr="00CC26B5">
              <w:tab/>
              <w:t xml:space="preserve">receiving, storing, monitoring and maintaining stock levels over life cycle periods </w:t>
            </w:r>
          </w:p>
          <w:p w:rsidR="00000000" w:rsidRPr="00CC26B5" w:rsidP="00CC26B5">
            <w:pPr>
              <w:pStyle w:val="ListBullet"/>
            </w:pPr>
            <w:r w:rsidRPr="00CC26B5">
              <w:t xml:space="preserve">undertaking supplier and customer relationship </w:t>
            </w:r>
            <w:r w:rsidRPr="00CC26B5">
              <w:t xml:space="preserve">management </w:t>
            </w:r>
          </w:p>
          <w:p w:rsidR="00000000" w:rsidRPr="00CC26B5" w:rsidP="00CC26B5">
            <w:pPr>
              <w:pStyle w:val="ListBullet"/>
            </w:pPr>
            <w:r w:rsidRPr="00CC26B5">
              <w:t xml:space="preserve">utilising stock handling, receivals and data collection technologies </w:t>
            </w:r>
          </w:p>
          <w:p w:rsidR="00000000" w:rsidRPr="00CC26B5" w:rsidP="00CC26B5">
            <w:pPr>
              <w:pStyle w:val="ListBullet"/>
            </w:pPr>
            <w:r w:rsidRPr="00CC26B5">
              <w:t xml:space="preserve">working with continuity plan and stock control and receival policies and procedures. </w:t>
            </w:r>
          </w:p>
        </w:tc>
      </w:tr>
    </w:tbl>
    <w:p w:rsidR="00000000" w:rsidRPr="00CC26B5" w:rsidP="00CC26B5">
      <w:pPr>
        <w:pStyle w:val="NoPaddingFontSize1"/>
      </w:pPr>
    </w:p>
    <w:p w:rsidR="00000000" w:rsidRPr="00CC26B5" w:rsidP="00CC26B5">
      <w:pPr>
        <w:pStyle w:val="AllowPageBreak"/>
      </w:pPr>
    </w:p>
    <w:p w:rsidR="00000000" w:rsidRPr="00CC26B5" w:rsidP="00CC26B5">
      <w:pPr>
        <w:pStyle w:val="Heading1"/>
      </w:pPr>
      <w:bookmarkStart w:id="3" w:name="O_1299253"/>
      <w:bookmarkEnd w:id="3"/>
      <w:r w:rsidRPr="00CC26B5">
        <w:t>Knowledge Evidence</w:t>
      </w:r>
    </w:p>
    <w:tbl>
      <w:tblPr>
        <w:tblW w:w="9497" w:type="dxa"/>
        <w:tblLayout w:type="fixed"/>
        <w:tblCellMar>
          <w:left w:w="62" w:type="dxa"/>
          <w:right w:w="62" w:type="dxa"/>
        </w:tblCellMar>
        <w:tblLook w:val="0000"/>
      </w:tblPr>
      <w:tblGrid>
        <w:gridCol w:w="9497"/>
      </w:tblGrid>
      <w:tr w:rsidTr="00CC26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26B5">
            <w:pPr>
              <w:pStyle w:val="BodyText"/>
              <w:rPr>
                <w:lang w:val="en-NZ"/>
              </w:rPr>
            </w:pPr>
            <w:r w:rsidRPr="00CC26B5">
              <w:t>Evidence required to demonstrate competence in this unit must be relevant to and satisfy all the requirements of the elements and performance criteria and includes knowledge of</w:t>
            </w:r>
          </w:p>
        </w:tc>
      </w:tr>
      <w:tr w:rsidTr="00CC26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6B5" w:rsidP="00CC26B5">
            <w:pPr>
              <w:pStyle w:val="ListBullet"/>
            </w:pPr>
            <w:r w:rsidRPr="00CC26B5">
              <w:t>continuity plans</w:t>
            </w:r>
          </w:p>
          <w:p w:rsidR="00000000" w:rsidRPr="00CC26B5" w:rsidP="00CC26B5">
            <w:pPr>
              <w:pStyle w:val="ListBullet"/>
            </w:pPr>
            <w:r w:rsidRPr="00CC26B5">
              <w:t>contractual and preferred supplier arrangements</w:t>
            </w:r>
          </w:p>
          <w:p w:rsidR="00000000" w:rsidRPr="00CC26B5" w:rsidP="00CC26B5">
            <w:pPr>
              <w:pStyle w:val="ListBullet"/>
            </w:pPr>
            <w:r w:rsidRPr="00CC26B5">
              <w:t>disposal met</w:t>
            </w:r>
            <w:r w:rsidRPr="00CC26B5">
              <w:t>hods for stock and waste including hazardous substances</w:t>
            </w:r>
          </w:p>
          <w:p w:rsidR="00000000" w:rsidRPr="00CC26B5" w:rsidP="00CC26B5">
            <w:pPr>
              <w:pStyle w:val="ListBullet"/>
            </w:pPr>
            <w:r w:rsidRPr="00CC26B5">
              <w:t>stock control and receivals policies and procedures</w:t>
            </w:r>
          </w:p>
          <w:p w:rsidR="00000000" w:rsidRPr="00CC26B5" w:rsidP="00CC26B5">
            <w:pPr>
              <w:pStyle w:val="ListBullet"/>
            </w:pPr>
            <w:r w:rsidRPr="00CC26B5">
              <w:t>principles of stock control including:</w:t>
            </w:r>
          </w:p>
          <w:p w:rsidR="00000000" w:rsidRPr="00CC26B5" w:rsidP="00CC26B5">
            <w:pPr>
              <w:pStyle w:val="ListBullet4"/>
            </w:pPr>
            <w:r w:rsidRPr="00CC26B5">
              <w:t>approaches to calculating stock levels and replenishment requirements</w:t>
            </w:r>
          </w:p>
          <w:p w:rsidR="00000000" w:rsidRPr="00CC26B5" w:rsidP="00CC26B5">
            <w:pPr>
              <w:pStyle w:val="ListBullet4"/>
            </w:pPr>
            <w:r w:rsidRPr="00CC26B5">
              <w:t xml:space="preserve">factors that may influence purchase specifications </w:t>
            </w:r>
          </w:p>
          <w:p w:rsidR="00000000" w:rsidRPr="00CC26B5" w:rsidP="00CC26B5">
            <w:pPr>
              <w:pStyle w:val="ListBullet4"/>
            </w:pPr>
            <w:r w:rsidRPr="00CC26B5">
              <w:t>forecasting methods for calculating inventory consumption</w:t>
            </w:r>
          </w:p>
          <w:p w:rsidR="00000000" w:rsidRPr="00CC26B5" w:rsidP="00CC26B5">
            <w:pPr>
              <w:pStyle w:val="ListBullet"/>
            </w:pPr>
            <w:r w:rsidRPr="00CC26B5">
              <w:t>methods and tools for calculating cost effective stock quantities including</w:t>
            </w:r>
          </w:p>
          <w:p w:rsidR="00000000" w:rsidRPr="00CC26B5" w:rsidP="00CC26B5">
            <w:pPr>
              <w:pStyle w:val="ListBullet4"/>
            </w:pPr>
            <w:r w:rsidRPr="00CC26B5">
              <w:t>methods of stock control including FIFO (First In, First Out) and LI</w:t>
            </w:r>
            <w:r w:rsidRPr="00CC26B5">
              <w:t>FO (Last In, First Out)</w:t>
            </w:r>
          </w:p>
          <w:p w:rsidR="00000000" w:rsidRPr="00CC26B5" w:rsidP="00CC26B5">
            <w:pPr>
              <w:pStyle w:val="ListBullet4"/>
            </w:pPr>
            <w:r w:rsidRPr="00CC26B5">
              <w:t xml:space="preserve">standard measures and formulas for yield testing </w:t>
            </w:r>
          </w:p>
          <w:p w:rsidR="00000000" w:rsidRPr="00CC26B5" w:rsidP="00CC26B5">
            <w:pPr>
              <w:pStyle w:val="ListBullet4"/>
            </w:pPr>
            <w:r w:rsidRPr="00CC26B5">
              <w:t>stock control systems including bin card system, imprest system, integrated point of sale system and ledger systems</w:t>
            </w:r>
          </w:p>
          <w:p w:rsidR="00000000" w:rsidRPr="00CC26B5" w:rsidP="00CC26B5">
            <w:pPr>
              <w:pStyle w:val="ListBullet"/>
            </w:pPr>
            <w:r w:rsidRPr="00CC26B5">
              <w:t xml:space="preserve">product life and storage requirements for specific stock </w:t>
            </w:r>
          </w:p>
          <w:p w:rsidR="00000000" w:rsidRPr="00CC26B5" w:rsidP="00CC26B5">
            <w:pPr>
              <w:pStyle w:val="ListBullet"/>
            </w:pPr>
            <w:r w:rsidRPr="00CC26B5">
              <w:t>real ti</w:t>
            </w:r>
            <w:r w:rsidRPr="00CC26B5">
              <w:t>me information using stock data technologies</w:t>
            </w:r>
          </w:p>
          <w:p w:rsidR="00000000" w:rsidRPr="00CC26B5" w:rsidP="00CC26B5">
            <w:pPr>
              <w:pStyle w:val="ListBullet"/>
            </w:pPr>
            <w:r w:rsidRPr="00CC26B5">
              <w:t xml:space="preserve">report requirements on stock loss, wastage, excesses and discrepancies  </w:t>
            </w:r>
          </w:p>
          <w:p w:rsidR="00000000" w:rsidRPr="00CC26B5" w:rsidP="00CC26B5">
            <w:pPr>
              <w:pStyle w:val="ListBullet"/>
            </w:pPr>
            <w:r w:rsidRPr="00CC26B5">
              <w:t xml:space="preserve">safe manual handling techniques </w:t>
            </w:r>
          </w:p>
          <w:p w:rsidR="00000000" w:rsidRPr="00CC26B5" w:rsidP="00CC26B5">
            <w:pPr>
              <w:pStyle w:val="ListBullet"/>
            </w:pPr>
            <w:r w:rsidRPr="00CC26B5">
              <w:t>safe stock placement and service level optimisation</w:t>
            </w:r>
          </w:p>
          <w:p w:rsidR="00000000" w:rsidRPr="00CC26B5" w:rsidP="00CC26B5">
            <w:pPr>
              <w:pStyle w:val="ListBullet"/>
            </w:pPr>
            <w:r w:rsidRPr="00CC26B5">
              <w:t>security measures for stock including storage and tra</w:t>
            </w:r>
            <w:r w:rsidRPr="00CC26B5">
              <w:t>cking</w:t>
            </w:r>
          </w:p>
          <w:p w:rsidR="00000000" w:rsidRPr="00CC26B5" w:rsidP="00CC26B5">
            <w:pPr>
              <w:pStyle w:val="ListBullet"/>
            </w:pPr>
            <w:r w:rsidRPr="00CC26B5">
              <w:t xml:space="preserve">stock control audits </w:t>
            </w:r>
          </w:p>
          <w:p w:rsidR="00000000" w:rsidRPr="00CC26B5" w:rsidP="00CC26B5">
            <w:pPr>
              <w:pStyle w:val="ListBullet"/>
            </w:pPr>
            <w:r w:rsidRPr="00CC26B5">
              <w:t xml:space="preserve">stock ordering and delivery processes </w:t>
            </w:r>
          </w:p>
          <w:p w:rsidR="00000000" w:rsidRPr="00CC26B5" w:rsidP="00CC26B5">
            <w:pPr>
              <w:pStyle w:val="ListBullet"/>
            </w:pPr>
            <w:r w:rsidRPr="00CC26B5">
              <w:t>stock quality control</w:t>
            </w:r>
          </w:p>
          <w:p w:rsidR="00000000" w:rsidRPr="00CC26B5" w:rsidP="00CC26B5">
            <w:pPr>
              <w:pStyle w:val="ListBullet"/>
            </w:pPr>
            <w:r w:rsidRPr="00CC26B5">
              <w:t>stock reorder cycles for standard business periods, peak seasons and special events</w:t>
            </w:r>
          </w:p>
          <w:p w:rsidR="00000000" w:rsidRPr="00CC26B5" w:rsidP="00CC26B5">
            <w:pPr>
              <w:pStyle w:val="ListBullet"/>
            </w:pPr>
            <w:r w:rsidRPr="00CC26B5">
              <w:t xml:space="preserve">supplier and customer relationship management </w:t>
            </w:r>
          </w:p>
          <w:p w:rsidR="00000000" w:rsidRPr="00CC26B5" w:rsidP="00CC26B5">
            <w:pPr>
              <w:pStyle w:val="ListBullet"/>
            </w:pPr>
            <w:r w:rsidRPr="00CC26B5">
              <w:t>supply sources for different types of products</w:t>
            </w:r>
          </w:p>
          <w:p w:rsidR="00000000" w:rsidRPr="00CC26B5" w:rsidP="00CC26B5">
            <w:pPr>
              <w:pStyle w:val="ListBullet"/>
            </w:pPr>
            <w:r w:rsidRPr="00CC26B5">
              <w:t xml:space="preserve">types of computerised stock control systems, their functions and features. </w:t>
            </w:r>
          </w:p>
        </w:tc>
      </w:tr>
    </w:tbl>
    <w:p w:rsidR="00000000" w:rsidRPr="00CC26B5" w:rsidP="00CC26B5">
      <w:pPr>
        <w:pStyle w:val="NoPaddingFontSize1"/>
      </w:pPr>
    </w:p>
    <w:p w:rsidR="00000000" w:rsidRPr="00CC26B5" w:rsidP="00CC26B5">
      <w:pPr>
        <w:pStyle w:val="AllowPageBreak"/>
      </w:pPr>
    </w:p>
    <w:p w:rsidR="00000000" w:rsidRPr="00CC26B5" w:rsidP="00CC26B5">
      <w:pPr>
        <w:pStyle w:val="Heading1"/>
      </w:pPr>
      <w:bookmarkStart w:id="4" w:name="O_1299252"/>
      <w:bookmarkEnd w:id="4"/>
      <w:r w:rsidRPr="00CC26B5">
        <w:t>Assessment Conditions</w:t>
      </w:r>
    </w:p>
    <w:tbl>
      <w:tblPr>
        <w:tblW w:w="9497" w:type="dxa"/>
        <w:tblLayout w:type="fixed"/>
        <w:tblCellMar>
          <w:left w:w="62" w:type="dxa"/>
          <w:right w:w="62" w:type="dxa"/>
        </w:tblCellMar>
        <w:tblLook w:val="0000"/>
      </w:tblPr>
      <w:tblGrid>
        <w:gridCol w:w="9497"/>
      </w:tblGrid>
      <w:tr w:rsidTr="00CC26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26B5" w:rsidP="00CC26B5">
            <w:pPr>
              <w:pStyle w:val="BodyText"/>
            </w:pPr>
            <w:r w:rsidRPr="00CC26B5">
              <w:t>Assessors must hold credentials specified within the Standards for Registered Training Org</w:t>
            </w:r>
            <w:r w:rsidRPr="00CC26B5">
              <w:t xml:space="preserve">anisations current at the time of assessment. </w:t>
            </w:r>
          </w:p>
          <w:p w:rsidR="00000000" w:rsidRPr="00CC26B5" w:rsidP="00CC26B5">
            <w:pPr>
              <w:pStyle w:val="BodyText"/>
            </w:pPr>
            <w:r w:rsidRPr="00CC26B5">
              <w:t>Assessment must satisfy the Principles of Assessment and Rules of Evidence and all regulatory requirements included within the Standards for Registered Training Organisations current at the time of assessment.</w:t>
            </w:r>
            <w:r w:rsidRPr="00CC26B5">
              <w:t xml:space="preserve"> </w:t>
            </w:r>
          </w:p>
          <w:p w:rsidR="00000000" w:rsidRPr="00CC26B5" w:rsidP="00CC26B5">
            <w:pPr>
              <w:pStyle w:val="BodyText"/>
            </w:pPr>
            <w:r w:rsidRPr="00CC26B5">
              <w:t>Assessment must occur in workplace operational situations where it is appropriate to do so. Where this is not appropriate, assessment must occur in simulated workplace operational situations that replicate workplace conditions.</w:t>
            </w:r>
          </w:p>
          <w:p w:rsidR="00000000" w:rsidRPr="00CC26B5" w:rsidP="00CC26B5">
            <w:pPr>
              <w:pStyle w:val="BodyText"/>
            </w:pPr>
            <w:r w:rsidRPr="00CC26B5">
              <w:t>Assessment processes and techniques must be appropriate to the language, literacy and numeracy requirements of the work being performed and the needs of the candidate.</w:t>
            </w:r>
          </w:p>
          <w:p w:rsidR="00000000" w:rsidRPr="00CC26B5" w:rsidP="00CC26B5">
            <w:pPr>
              <w:pStyle w:val="BodyText"/>
            </w:pPr>
            <w:r w:rsidRPr="00CC26B5">
              <w:t>Resources for assessment must include access to a range of</w:t>
            </w:r>
          </w:p>
          <w:p w:rsidR="00000000" w:rsidRPr="00CC26B5" w:rsidP="00CC26B5">
            <w:pPr>
              <w:pStyle w:val="ListBullet"/>
            </w:pPr>
            <w:r w:rsidRPr="00CC26B5">
              <w:t>exercises, case studies or o</w:t>
            </w:r>
            <w:r w:rsidRPr="00CC26B5">
              <w:t>ther simulations</w:t>
            </w:r>
          </w:p>
          <w:p w:rsidR="00000000" w:rsidRPr="00CC26B5" w:rsidP="00CC26B5">
            <w:pPr>
              <w:pStyle w:val="ListBullet"/>
            </w:pPr>
            <w:r w:rsidRPr="00CC26B5">
              <w:t>materials, tools and equipment used in industry including:</w:t>
            </w:r>
          </w:p>
          <w:p w:rsidR="00000000" w:rsidRPr="00CC26B5" w:rsidP="00CC26B5">
            <w:pPr>
              <w:pStyle w:val="ListBullet2"/>
            </w:pPr>
            <w:r w:rsidRPr="00CC26B5">
              <w:t xml:space="preserve">access to suppliers with whom the learner can interact, commercial purchase specifications, stock control procedures and reports and costs and contractual </w:t>
            </w:r>
            <w:r w:rsidRPr="00CC26B5">
              <w:t>documentation used for t</w:t>
            </w:r>
            <w:r w:rsidRPr="00CC26B5">
              <w:t xml:space="preserve">he purchase of stock  </w:t>
            </w:r>
          </w:p>
          <w:p w:rsidR="00000000" w:rsidRPr="00CC26B5" w:rsidP="00CC26B5">
            <w:pPr>
              <w:pStyle w:val="ListBullet2"/>
            </w:pPr>
            <w:r w:rsidRPr="00CC26B5">
              <w:t>stock control software systems and applications</w:t>
            </w:r>
          </w:p>
          <w:p w:rsidR="00000000" w:rsidRPr="00CC26B5" w:rsidP="00CC26B5">
            <w:pPr>
              <w:pStyle w:val="ListBullet"/>
            </w:pPr>
            <w:r w:rsidRPr="00CC26B5">
              <w:t>documentation including organisational policies and procedures, industry standards, regulations, codes of practice, operational manuals and equipment specifications.</w:t>
            </w:r>
            <w:r w:rsidRPr="00CC26B5">
              <w:tab/>
            </w:r>
          </w:p>
        </w:tc>
      </w:tr>
    </w:tbl>
    <w:p w:rsidR="00000000" w:rsidRPr="00CC26B5" w:rsidP="00CC26B5">
      <w:pPr>
        <w:pStyle w:val="NoPaddingFontSize1"/>
      </w:pPr>
    </w:p>
    <w:p w:rsidR="00000000" w:rsidRPr="00CC26B5" w:rsidP="00CC26B5">
      <w:pPr>
        <w:pStyle w:val="AllowPageBreak"/>
      </w:pPr>
    </w:p>
    <w:p w:rsidR="00000000" w:rsidRPr="00CC26B5" w:rsidP="00CC26B5">
      <w:pPr>
        <w:pStyle w:val="Heading1"/>
      </w:pPr>
      <w:bookmarkStart w:id="5" w:name="O_1299267"/>
      <w:bookmarkEnd w:id="5"/>
      <w:r w:rsidRPr="00CC26B5">
        <w:t>Links</w:t>
      </w:r>
    </w:p>
    <w:p w:rsidR="00000000" w:rsidRPr="00CC26B5" w:rsidP="002B564A">
      <w:pPr>
        <w:pStyle w:val="BodyText"/>
      </w:pPr>
      <w:r w:rsidRPr="00CC26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35C1B">
        <w:rPr>
          <w:rStyle w:val="Hyperlink"/>
        </w:rPr>
        <w:t>https://vetnet.gov.au/Pages/TrainingDocs.aspx?q=df441c6e-213d-43e3-874c-0b3f7036d851</w:t>
      </w:r>
      <w:r>
        <w:fldChar w:fldCharType="end"/>
      </w:r>
    </w:p>
    <w:p w:rsidR="00000000" w:rsidRPr="00CC26B5" w:rsidP="00CC26B5"/>
    <w:sectPr w:rsidSect="00CC26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B5" w:rsidRPr="002B564A" w:rsidP="002B5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4A" w:rsidP="00CC2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64A" w:rsidP="00CC26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B564A" w:rsidP="00CC2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6B5" w:rsidRPr="002B564A" w:rsidP="002B56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4A" w:rsidRPr="002D2AF8" w:rsidP="00CC26B5">
    <w:pPr>
      <w:pStyle w:val="Header"/>
      <w:framePr w:wrap="around"/>
    </w:pPr>
    <w:r>
      <w:fldChar w:fldCharType="begin"/>
    </w:r>
    <w:r>
      <w:instrText xml:space="preserve"> TITLE   \* MERGEFORMAT </w:instrText>
    </w:r>
    <w:r>
      <w:fldChar w:fldCharType="separate"/>
    </w:r>
    <w:r>
      <w:t>Assessment Requirements for TLIX0013X Maintain stock control and receivals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2B564A" w:rsidP="00CC2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4ED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C68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0C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6B5"/>
    <w:pPr>
      <w:spacing w:before="360" w:after="60"/>
      <w:outlineLvl w:val="0"/>
    </w:pPr>
    <w:rPr>
      <w:sz w:val="32"/>
    </w:rPr>
  </w:style>
  <w:style w:type="paragraph" w:styleId="Heading2">
    <w:name w:val="heading 2"/>
    <w:basedOn w:val="HeadingBase"/>
    <w:next w:val="BodyText"/>
    <w:link w:val="Heading2Char"/>
    <w:qFormat/>
    <w:rsid w:val="00CC26B5"/>
    <w:pPr>
      <w:keepLines/>
      <w:spacing w:before="240" w:after="120"/>
      <w:outlineLvl w:val="1"/>
    </w:pPr>
    <w:rPr>
      <w:sz w:val="28"/>
      <w:szCs w:val="40"/>
    </w:rPr>
  </w:style>
  <w:style w:type="paragraph" w:styleId="Heading3">
    <w:name w:val="heading 3"/>
    <w:basedOn w:val="HeadingBase"/>
    <w:next w:val="BodyText"/>
    <w:link w:val="Heading3Char"/>
    <w:qFormat/>
    <w:rsid w:val="00CC26B5"/>
    <w:pPr>
      <w:spacing w:before="180" w:after="120"/>
      <w:outlineLvl w:val="2"/>
    </w:pPr>
    <w:rPr>
      <w:spacing w:val="-10"/>
      <w:kern w:val="32"/>
    </w:rPr>
  </w:style>
  <w:style w:type="paragraph" w:styleId="Heading4">
    <w:name w:val="heading 4"/>
    <w:basedOn w:val="HeadingBase"/>
    <w:next w:val="BodyText"/>
    <w:link w:val="Heading4Char"/>
    <w:qFormat/>
    <w:rsid w:val="00CC26B5"/>
    <w:pPr>
      <w:spacing w:before="160" w:after="120"/>
      <w:outlineLvl w:val="3"/>
    </w:pPr>
    <w:rPr>
      <w:sz w:val="22"/>
    </w:rPr>
  </w:style>
  <w:style w:type="paragraph" w:styleId="Heading5">
    <w:name w:val="heading 5"/>
    <w:basedOn w:val="HeadingBase"/>
    <w:next w:val="Normal"/>
    <w:link w:val="Heading5Char"/>
    <w:qFormat/>
    <w:rsid w:val="00CC26B5"/>
    <w:pPr>
      <w:spacing w:before="80"/>
      <w:outlineLvl w:val="4"/>
    </w:pPr>
    <w:rPr>
      <w:color w:val="918585"/>
      <w:sz w:val="20"/>
    </w:rPr>
  </w:style>
  <w:style w:type="paragraph" w:styleId="Heading6">
    <w:name w:val="heading 6"/>
    <w:basedOn w:val="HeadingBase"/>
    <w:next w:val="Normal"/>
    <w:link w:val="Heading6Char"/>
    <w:qFormat/>
    <w:rsid w:val="00CC26B5"/>
    <w:pPr>
      <w:spacing w:before="60"/>
      <w:outlineLvl w:val="5"/>
    </w:pPr>
    <w:rPr>
      <w:color w:val="918585"/>
      <w:sz w:val="20"/>
    </w:rPr>
  </w:style>
  <w:style w:type="paragraph" w:styleId="Heading7">
    <w:name w:val="heading 7"/>
    <w:basedOn w:val="Normal"/>
    <w:next w:val="Normal"/>
    <w:link w:val="Heading7Char"/>
    <w:qFormat/>
    <w:rsid w:val="00CC26B5"/>
    <w:pPr>
      <w:ind w:left="720"/>
      <w:outlineLvl w:val="6"/>
    </w:pPr>
    <w:rPr>
      <w:i/>
    </w:rPr>
  </w:style>
  <w:style w:type="paragraph" w:styleId="Heading8">
    <w:name w:val="heading 8"/>
    <w:basedOn w:val="Normal"/>
    <w:next w:val="Normal"/>
    <w:link w:val="Heading8Char"/>
    <w:qFormat/>
    <w:rsid w:val="00CC26B5"/>
    <w:pPr>
      <w:ind w:left="720"/>
      <w:outlineLvl w:val="7"/>
    </w:pPr>
    <w:rPr>
      <w:i/>
    </w:rPr>
  </w:style>
  <w:style w:type="paragraph" w:styleId="Heading9">
    <w:name w:val="heading 9"/>
    <w:basedOn w:val="Normal"/>
    <w:next w:val="Normal"/>
    <w:link w:val="Heading9Char"/>
    <w:qFormat/>
    <w:rsid w:val="00CC26B5"/>
    <w:pPr>
      <w:ind w:left="720"/>
      <w:outlineLvl w:val="8"/>
    </w:pPr>
    <w:rPr>
      <w:i/>
    </w:rPr>
  </w:style>
  <w:style w:type="character" w:default="1" w:styleId="DefaultParagraphFont">
    <w:name w:val="Default Paragraph Font"/>
    <w:uiPriority w:val="1"/>
    <w:unhideWhenUsed/>
    <w:rsid w:val="00CC2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6B5"/>
  </w:style>
  <w:style w:type="character" w:customStyle="1" w:styleId="Heading1Char">
    <w:name w:val="Heading 1 Char"/>
    <w:basedOn w:val="DefaultParagraphFont"/>
    <w:link w:val="Heading1"/>
    <w:rsid w:val="00CC26B5"/>
    <w:rPr>
      <w:rFonts w:ascii="Times New Roman" w:eastAsia="Times New Roman" w:hAnsi="Times New Roman" w:cs="Times New Roman"/>
      <w:b/>
      <w:sz w:val="32"/>
      <w:szCs w:val="20"/>
      <w:lang w:eastAsia="en-US"/>
    </w:rPr>
  </w:style>
  <w:style w:type="paragraph" w:styleId="BodyText">
    <w:name w:val="Body Text"/>
    <w:basedOn w:val="Normal"/>
    <w:link w:val="BodyTextChar"/>
    <w:rsid w:val="00CC2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6B5"/>
    <w:rPr>
      <w:rFonts w:ascii="Times New Roman" w:eastAsia="Times New Roman" w:hAnsi="Times New Roman" w:cs="Times New Roman"/>
      <w:sz w:val="24"/>
      <w:lang w:eastAsia="en-US"/>
    </w:rPr>
  </w:style>
  <w:style w:type="paragraph" w:styleId="ListBullet">
    <w:name w:val="List Bullet"/>
    <w:basedOn w:val="List"/>
    <w:rsid w:val="00CC26B5"/>
    <w:pPr>
      <w:numPr>
        <w:numId w:val="13"/>
      </w:numPr>
      <w:tabs>
        <w:tab w:val="clear" w:pos="340"/>
      </w:tabs>
      <w:spacing w:before="40" w:after="40"/>
    </w:pPr>
  </w:style>
  <w:style w:type="character" w:customStyle="1" w:styleId="SpecialBold">
    <w:name w:val="Special Bold"/>
    <w:basedOn w:val="DefaultParagraphFont"/>
    <w:rsid w:val="00CC26B5"/>
    <w:rPr>
      <w:b/>
      <w:spacing w:val="0"/>
    </w:rPr>
  </w:style>
  <w:style w:type="paragraph" w:styleId="ListBullet2">
    <w:name w:val="List Bullet 2"/>
    <w:basedOn w:val="List2"/>
    <w:rsid w:val="00CC26B5"/>
    <w:pPr>
      <w:numPr>
        <w:numId w:val="14"/>
      </w:numPr>
      <w:tabs>
        <w:tab w:val="clear" w:pos="680"/>
      </w:tabs>
    </w:pPr>
  </w:style>
  <w:style w:type="paragraph" w:customStyle="1" w:styleId="SuperHeading">
    <w:name w:val="SuperHeading"/>
    <w:basedOn w:val="Normal"/>
    <w:rsid w:val="00CC26B5"/>
    <w:pPr>
      <w:spacing w:before="240" w:after="120"/>
      <w:outlineLvl w:val="0"/>
    </w:pPr>
    <w:rPr>
      <w:rFonts w:ascii="Times New Roman" w:hAnsi="Times New Roman"/>
      <w:b/>
      <w:sz w:val="32"/>
    </w:rPr>
  </w:style>
  <w:style w:type="paragraph" w:customStyle="1" w:styleId="AllowPageBreak">
    <w:name w:val="AllowPageBreak"/>
    <w:rsid w:val="00CC26B5"/>
    <w:pPr>
      <w:widowControl w:val="0"/>
      <w:spacing w:after="0" w:line="240" w:lineRule="auto"/>
    </w:pPr>
    <w:rPr>
      <w:rFonts w:ascii="Times New Roman" w:eastAsia="Times New Roman" w:hAnsi="Times New Roman" w:cs="Times New Roman"/>
      <w:noProof/>
      <w:sz w:val="2"/>
      <w:szCs w:val="20"/>
      <w:lang w:eastAsia="en-US"/>
    </w:rPr>
  </w:style>
  <w:style w:type="paragraph" w:styleId="ListBullet4">
    <w:name w:val="List Bullet 4"/>
    <w:basedOn w:val="List4"/>
    <w:rsid w:val="00CC26B5"/>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2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6B5"/>
    <w:rPr>
      <w:rFonts w:ascii="Courier New" w:eastAsia="Times New Roman" w:hAnsi="Courier New" w:cs="Times New Roman"/>
      <w:i/>
      <w:szCs w:val="20"/>
      <w:lang w:eastAsia="en-US"/>
    </w:rPr>
  </w:style>
  <w:style w:type="paragraph" w:customStyle="1" w:styleId="HeadingBase">
    <w:name w:val="Heading Base"/>
    <w:rsid w:val="00CC2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6B5"/>
    <w:pPr>
      <w:tabs>
        <w:tab w:val="right" w:leader="dot" w:pos="9072"/>
      </w:tabs>
      <w:ind w:left="567"/>
    </w:pPr>
    <w:rPr>
      <w:szCs w:val="22"/>
    </w:rPr>
  </w:style>
  <w:style w:type="paragraph" w:customStyle="1" w:styleId="TOCBase">
    <w:name w:val="TOC Base"/>
    <w:rsid w:val="00CC2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6B5"/>
    <w:pPr>
      <w:tabs>
        <w:tab w:val="right" w:leader="dot" w:pos="9072"/>
      </w:tabs>
      <w:spacing w:before="40" w:after="40"/>
      <w:ind w:left="284"/>
    </w:pPr>
    <w:rPr>
      <w:rFonts w:ascii="Times New Roman" w:hAnsi="Times New Roman"/>
    </w:rPr>
  </w:style>
  <w:style w:type="paragraph" w:styleId="TOC1">
    <w:name w:val="toc 1"/>
    <w:basedOn w:val="TOCBase"/>
    <w:next w:val="Normal"/>
    <w:rsid w:val="00CC2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6B5"/>
    <w:rPr>
      <w:rFonts w:ascii="Times New Roman" w:eastAsia="Times New Roman" w:hAnsi="Times New Roman" w:cs="Times New Roman"/>
      <w:sz w:val="16"/>
      <w:lang w:eastAsia="en-US"/>
    </w:rPr>
  </w:style>
  <w:style w:type="paragraph" w:styleId="Title">
    <w:name w:val="Title"/>
    <w:basedOn w:val="HeadingBase"/>
    <w:link w:val="TitleChar"/>
    <w:qFormat/>
    <w:rsid w:val="00CC26B5"/>
    <w:pPr>
      <w:spacing w:before="5040"/>
      <w:jc w:val="center"/>
    </w:pPr>
    <w:rPr>
      <w:sz w:val="48"/>
      <w:szCs w:val="72"/>
      <w:lang w:val="en-US"/>
    </w:rPr>
  </w:style>
  <w:style w:type="character" w:customStyle="1" w:styleId="TitleChar">
    <w:name w:val="Title Char"/>
    <w:basedOn w:val="DefaultParagraphFont"/>
    <w:link w:val="Title"/>
    <w:rsid w:val="00CC2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6B5"/>
    <w:pPr>
      <w:tabs>
        <w:tab w:val="left" w:pos="3600"/>
        <w:tab w:val="left" w:pos="3958"/>
      </w:tabs>
    </w:pPr>
  </w:style>
  <w:style w:type="paragraph" w:styleId="List">
    <w:name w:val="List"/>
    <w:basedOn w:val="BodyText"/>
    <w:next w:val="BodyText"/>
    <w:rsid w:val="00CC26B5"/>
    <w:pPr>
      <w:tabs>
        <w:tab w:val="left" w:pos="340"/>
      </w:tabs>
      <w:spacing w:before="60" w:after="60"/>
      <w:ind w:left="340" w:hanging="340"/>
    </w:pPr>
  </w:style>
  <w:style w:type="paragraph" w:customStyle="1" w:styleId="Note">
    <w:name w:val="Note"/>
    <w:basedOn w:val="BodyText"/>
    <w:rsid w:val="00CC2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6B5"/>
    <w:pPr>
      <w:framePr w:wrap="auto" w:hAnchor="text" w:y="6049"/>
    </w:pPr>
    <w:rPr>
      <w:color w:val="000000"/>
      <w:sz w:val="40"/>
    </w:rPr>
  </w:style>
  <w:style w:type="paragraph" w:customStyle="1" w:styleId="TOCTitle">
    <w:name w:val="TOCTitle"/>
    <w:basedOn w:val="Heading1"/>
    <w:rsid w:val="00CC26B5"/>
    <w:pPr>
      <w:spacing w:after="240"/>
      <w:jc w:val="center"/>
      <w:outlineLvl w:val="9"/>
    </w:pPr>
    <w:rPr>
      <w:caps/>
    </w:rPr>
  </w:style>
  <w:style w:type="paragraph" w:customStyle="1" w:styleId="Version">
    <w:name w:val="Version"/>
    <w:rsid w:val="00CC2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6B5"/>
    <w:pPr>
      <w:keepNext w:val="0"/>
      <w:tabs>
        <w:tab w:val="right" w:pos="4176"/>
      </w:tabs>
      <w:ind w:left="198" w:hanging="198"/>
    </w:pPr>
    <w:rPr>
      <w:rFonts w:ascii="Garamond" w:hAnsi="Garamond"/>
    </w:rPr>
  </w:style>
  <w:style w:type="paragraph" w:styleId="IndexHeading">
    <w:name w:val="index heading"/>
    <w:basedOn w:val="Normal"/>
    <w:next w:val="Index1"/>
    <w:semiHidden/>
    <w:rsid w:val="00CC26B5"/>
    <w:pPr>
      <w:spacing w:before="120" w:after="120"/>
    </w:pPr>
    <w:rPr>
      <w:rFonts w:ascii="Arial" w:hAnsi="Arial"/>
      <w:b/>
      <w:color w:val="918585"/>
      <w:sz w:val="24"/>
    </w:rPr>
  </w:style>
  <w:style w:type="paragraph" w:styleId="Header">
    <w:name w:val="header"/>
    <w:basedOn w:val="Normal"/>
    <w:link w:val="HeaderChar"/>
    <w:rsid w:val="00CC2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6B5"/>
    <w:rPr>
      <w:rFonts w:ascii="Times New Roman" w:eastAsia="Times New Roman" w:hAnsi="Times New Roman" w:cs="Times New Roman"/>
      <w:sz w:val="16"/>
      <w:szCs w:val="20"/>
      <w:lang w:val="en-GB" w:eastAsia="en-US"/>
    </w:rPr>
  </w:style>
  <w:style w:type="paragraph" w:customStyle="1" w:styleId="Chapter">
    <w:name w:val="Chapter"/>
    <w:basedOn w:val="Normal"/>
    <w:rsid w:val="00CC26B5"/>
    <w:pPr>
      <w:spacing w:before="240"/>
    </w:pPr>
    <w:rPr>
      <w:rFonts w:ascii="Times New Roman" w:hAnsi="Times New Roman"/>
      <w:smallCaps/>
      <w:spacing w:val="80"/>
      <w:sz w:val="28"/>
    </w:rPr>
  </w:style>
  <w:style w:type="paragraph" w:customStyle="1" w:styleId="InChapter">
    <w:name w:val="InChapter"/>
    <w:basedOn w:val="Heading3"/>
    <w:rsid w:val="00CC26B5"/>
    <w:pPr>
      <w:spacing w:after="240"/>
      <w:outlineLvl w:val="9"/>
    </w:pPr>
    <w:rPr>
      <w:noProof/>
    </w:rPr>
  </w:style>
  <w:style w:type="paragraph" w:styleId="Index2">
    <w:name w:val="index 2"/>
    <w:basedOn w:val="Normal"/>
    <w:next w:val="Normal"/>
    <w:semiHidden/>
    <w:rsid w:val="00CC26B5"/>
    <w:pPr>
      <w:tabs>
        <w:tab w:val="right" w:pos="4176"/>
      </w:tabs>
      <w:ind w:left="568" w:hanging="284"/>
    </w:pPr>
    <w:rPr>
      <w:rFonts w:ascii="Garamond" w:hAnsi="Garamond"/>
    </w:rPr>
  </w:style>
  <w:style w:type="paragraph" w:customStyle="1" w:styleId="Byline">
    <w:name w:val="Byline"/>
    <w:rsid w:val="00CC2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6B5"/>
    <w:pPr>
      <w:tabs>
        <w:tab w:val="clear" w:pos="3600"/>
        <w:tab w:val="clear" w:pos="3958"/>
      </w:tabs>
      <w:jc w:val="right"/>
    </w:pPr>
  </w:style>
  <w:style w:type="character" w:styleId="Emphasis">
    <w:name w:val="Emphasis"/>
    <w:basedOn w:val="DefaultParagraphFont"/>
    <w:qFormat/>
    <w:rsid w:val="00CC26B5"/>
    <w:rPr>
      <w:i/>
    </w:rPr>
  </w:style>
  <w:style w:type="paragraph" w:styleId="Caption">
    <w:name w:val="caption"/>
    <w:basedOn w:val="BodyText"/>
    <w:next w:val="Normal"/>
    <w:qFormat/>
    <w:rsid w:val="00CC26B5"/>
    <w:pPr>
      <w:framePr w:w="2268" w:hSpace="181" w:vSpace="181" w:wrap="around" w:vAnchor="text" w:hAnchor="page" w:x="1135" w:y="285" w:anchorLock="1"/>
    </w:pPr>
    <w:rPr>
      <w:i/>
    </w:rPr>
  </w:style>
  <w:style w:type="paragraph" w:customStyle="1" w:styleId="MiniTOCTitle">
    <w:name w:val="MiniTOCTitle"/>
    <w:basedOn w:val="Heading4"/>
    <w:rsid w:val="00CC26B5"/>
    <w:pPr>
      <w:spacing w:before="240"/>
      <w:outlineLvl w:val="9"/>
    </w:pPr>
    <w:rPr>
      <w:noProof/>
      <w:sz w:val="24"/>
    </w:rPr>
  </w:style>
  <w:style w:type="paragraph" w:customStyle="1" w:styleId="MiniTOCItem">
    <w:name w:val="MiniTOCItem"/>
    <w:basedOn w:val="ListBullet"/>
    <w:rsid w:val="00CC26B5"/>
    <w:pPr>
      <w:numPr>
        <w:numId w:val="0"/>
      </w:numPr>
      <w:tabs>
        <w:tab w:val="right" w:leader="dot" w:pos="6521"/>
      </w:tabs>
      <w:spacing w:before="0" w:after="0"/>
    </w:pPr>
  </w:style>
  <w:style w:type="paragraph" w:customStyle="1" w:styleId="TOFTitle">
    <w:name w:val="TOFTitle"/>
    <w:basedOn w:val="TOCTitle"/>
    <w:rsid w:val="00CC26B5"/>
  </w:style>
  <w:style w:type="paragraph" w:styleId="TableofFigures">
    <w:name w:val="table of figures"/>
    <w:basedOn w:val="Normal"/>
    <w:next w:val="Normal"/>
    <w:semiHidden/>
    <w:rsid w:val="00CC26B5"/>
    <w:pPr>
      <w:tabs>
        <w:tab w:val="right" w:leader="dot" w:pos="9072"/>
      </w:tabs>
      <w:ind w:left="970" w:hanging="403"/>
    </w:pPr>
    <w:rPr>
      <w:rFonts w:ascii="Times New Roman" w:hAnsi="Times New Roman"/>
      <w:b/>
    </w:rPr>
  </w:style>
  <w:style w:type="paragraph" w:styleId="ListNumber">
    <w:name w:val="List Number"/>
    <w:basedOn w:val="List"/>
    <w:rsid w:val="00CC26B5"/>
    <w:pPr>
      <w:numPr>
        <w:numId w:val="16"/>
      </w:numPr>
      <w:tabs>
        <w:tab w:val="clear" w:pos="340"/>
      </w:tabs>
    </w:pPr>
  </w:style>
  <w:style w:type="character" w:customStyle="1" w:styleId="WingdingSymbols">
    <w:name w:val="Wingding Symbols"/>
    <w:rsid w:val="00CC26B5"/>
    <w:rPr>
      <w:rFonts w:ascii="Wingdings" w:hAnsi="Wingdings"/>
    </w:rPr>
  </w:style>
  <w:style w:type="paragraph" w:customStyle="1" w:styleId="TableHeading">
    <w:name w:val="Table Heading"/>
    <w:basedOn w:val="HeadingBase"/>
    <w:rsid w:val="00CC26B5"/>
    <w:pPr>
      <w:keepLines/>
      <w:pBdr>
        <w:bottom w:val="single" w:sz="6" w:space="1" w:color="918585"/>
      </w:pBdr>
      <w:spacing w:before="240"/>
    </w:pPr>
  </w:style>
  <w:style w:type="character" w:customStyle="1" w:styleId="HotSpot">
    <w:name w:val="HotSpot"/>
    <w:rsid w:val="00CC26B5"/>
    <w:rPr>
      <w:color w:val="0033CC"/>
      <w:u w:val="none"/>
    </w:rPr>
  </w:style>
  <w:style w:type="paragraph" w:customStyle="1" w:styleId="BodyTextRight">
    <w:name w:val="Body Text Right"/>
    <w:basedOn w:val="BodyText"/>
    <w:rsid w:val="00CC26B5"/>
    <w:pPr>
      <w:spacing w:before="0" w:after="0"/>
      <w:jc w:val="right"/>
    </w:pPr>
  </w:style>
  <w:style w:type="paragraph" w:styleId="Index3">
    <w:name w:val="index 3"/>
    <w:basedOn w:val="ListNumber2"/>
    <w:next w:val="Normal"/>
    <w:semiHidden/>
    <w:rsid w:val="00CC26B5"/>
    <w:pPr>
      <w:numPr>
        <w:numId w:val="0"/>
      </w:numPr>
      <w:tabs>
        <w:tab w:val="right" w:leader="dot" w:pos="4176"/>
      </w:tabs>
    </w:pPr>
  </w:style>
  <w:style w:type="paragraph" w:styleId="ListNumber2">
    <w:name w:val="List Number 2"/>
    <w:basedOn w:val="List2"/>
    <w:rsid w:val="00CC26B5"/>
    <w:pPr>
      <w:numPr>
        <w:numId w:val="11"/>
      </w:numPr>
      <w:tabs>
        <w:tab w:val="clear" w:pos="1060"/>
      </w:tabs>
    </w:pPr>
  </w:style>
  <w:style w:type="paragraph" w:customStyle="1" w:styleId="MarginNote">
    <w:name w:val="Margin Note"/>
    <w:basedOn w:val="BodyText"/>
    <w:rsid w:val="00CC2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6B5"/>
    <w:rPr>
      <w:sz w:val="32"/>
    </w:rPr>
  </w:style>
  <w:style w:type="paragraph" w:customStyle="1" w:styleId="HeadingProcedure">
    <w:name w:val="Heading Procedure"/>
    <w:basedOn w:val="HeadingBase"/>
    <w:next w:val="Normal"/>
    <w:rsid w:val="00CC26B5"/>
    <w:pPr>
      <w:tabs>
        <w:tab w:val="left" w:pos="0"/>
      </w:tabs>
      <w:spacing w:before="120" w:after="60"/>
    </w:pPr>
    <w:rPr>
      <w:i/>
      <w:color w:val="918585"/>
      <w:sz w:val="22"/>
    </w:rPr>
  </w:style>
  <w:style w:type="paragraph" w:customStyle="1" w:styleId="TableBodyText">
    <w:name w:val="Table Body Text"/>
    <w:basedOn w:val="BodyText"/>
    <w:rsid w:val="00CC26B5"/>
    <w:pPr>
      <w:spacing w:before="60" w:after="60"/>
    </w:pPr>
  </w:style>
  <w:style w:type="paragraph" w:styleId="ListContinue">
    <w:name w:val="List Continue"/>
    <w:basedOn w:val="List"/>
    <w:rsid w:val="00CC26B5"/>
    <w:pPr>
      <w:ind w:firstLine="0"/>
    </w:pPr>
  </w:style>
  <w:style w:type="paragraph" w:customStyle="1" w:styleId="ListNote">
    <w:name w:val="List Note"/>
    <w:basedOn w:val="List"/>
    <w:rsid w:val="00CC26B5"/>
    <w:pPr>
      <w:pBdr>
        <w:top w:val="single" w:sz="6" w:space="2" w:color="918585"/>
        <w:bottom w:val="single" w:sz="6" w:space="2" w:color="918585"/>
      </w:pBdr>
      <w:tabs>
        <w:tab w:val="left" w:pos="1021"/>
      </w:tabs>
      <w:ind w:firstLine="0"/>
    </w:pPr>
  </w:style>
  <w:style w:type="paragraph" w:customStyle="1" w:styleId="Warning">
    <w:name w:val="Warning"/>
    <w:basedOn w:val="BodyText"/>
    <w:rsid w:val="00CC26B5"/>
    <w:pPr>
      <w:shd w:val="clear" w:color="auto" w:fill="D9D9D9"/>
      <w:tabs>
        <w:tab w:val="left" w:pos="992"/>
      </w:tabs>
      <w:ind w:left="119" w:right="119"/>
    </w:pPr>
    <w:rPr>
      <w:sz w:val="20"/>
    </w:rPr>
  </w:style>
  <w:style w:type="paragraph" w:customStyle="1" w:styleId="MarginIcons">
    <w:name w:val="Margin Icons"/>
    <w:basedOn w:val="BodyText"/>
    <w:rsid w:val="00CC2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6B5"/>
    <w:rPr>
      <w:rFonts w:ascii="Courier New" w:hAnsi="Courier New"/>
    </w:rPr>
  </w:style>
  <w:style w:type="paragraph" w:customStyle="1" w:styleId="NoteBullet">
    <w:name w:val="Note Bullet"/>
    <w:basedOn w:val="Note"/>
    <w:rsid w:val="00CC26B5"/>
    <w:pPr>
      <w:tabs>
        <w:tab w:val="clear" w:pos="680"/>
      </w:tabs>
      <w:spacing w:before="60" w:after="60"/>
    </w:pPr>
  </w:style>
  <w:style w:type="paragraph" w:customStyle="1" w:styleId="SubHeading2">
    <w:name w:val="SubHeading2"/>
    <w:basedOn w:val="HeadingBase"/>
    <w:rsid w:val="00CC26B5"/>
    <w:pPr>
      <w:spacing w:before="240" w:after="60"/>
    </w:pPr>
    <w:rPr>
      <w:sz w:val="20"/>
    </w:rPr>
  </w:style>
  <w:style w:type="paragraph" w:customStyle="1" w:styleId="SubHeading1">
    <w:name w:val="SubHeading1"/>
    <w:basedOn w:val="HeadingBase"/>
    <w:rsid w:val="00CC26B5"/>
    <w:pPr>
      <w:spacing w:before="240" w:after="60"/>
    </w:pPr>
    <w:rPr>
      <w:color w:val="918585"/>
      <w:sz w:val="22"/>
    </w:rPr>
  </w:style>
  <w:style w:type="paragraph" w:customStyle="1" w:styleId="SideHeading">
    <w:name w:val="Side Heading"/>
    <w:basedOn w:val="HeadingBase"/>
    <w:rsid w:val="00CC2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6B5"/>
    <w:pPr>
      <w:numPr>
        <w:numId w:val="12"/>
      </w:numPr>
    </w:pPr>
  </w:style>
  <w:style w:type="paragraph" w:styleId="PlainText">
    <w:name w:val="Plain Text"/>
    <w:basedOn w:val="Normal"/>
    <w:link w:val="PlainTextChar"/>
    <w:rsid w:val="00CC26B5"/>
    <w:rPr>
      <w:sz w:val="20"/>
    </w:rPr>
  </w:style>
  <w:style w:type="character" w:customStyle="1" w:styleId="PlainTextChar">
    <w:name w:val="Plain Text Char"/>
    <w:basedOn w:val="DefaultParagraphFont"/>
    <w:link w:val="PlainText"/>
    <w:rsid w:val="00CC26B5"/>
    <w:rPr>
      <w:rFonts w:ascii="Courier New" w:eastAsia="Times New Roman" w:hAnsi="Courier New" w:cs="Times New Roman"/>
      <w:sz w:val="20"/>
      <w:szCs w:val="20"/>
      <w:lang w:eastAsia="en-US"/>
    </w:rPr>
  </w:style>
  <w:style w:type="character" w:customStyle="1" w:styleId="MenuOption">
    <w:name w:val="Menu Option"/>
    <w:basedOn w:val="DefaultParagraphFont"/>
    <w:rsid w:val="00CC26B5"/>
    <w:rPr>
      <w:b/>
      <w:smallCaps/>
    </w:rPr>
  </w:style>
  <w:style w:type="paragraph" w:customStyle="1" w:styleId="TableListNumber">
    <w:name w:val="Table List Number"/>
    <w:basedOn w:val="ListNumber"/>
    <w:rsid w:val="00CC26B5"/>
    <w:pPr>
      <w:numPr>
        <w:numId w:val="0"/>
      </w:numPr>
    </w:pPr>
  </w:style>
  <w:style w:type="paragraph" w:styleId="TOC4">
    <w:name w:val="toc 4"/>
    <w:basedOn w:val="TOCBase"/>
    <w:next w:val="Normal"/>
    <w:semiHidden/>
    <w:rsid w:val="00CC26B5"/>
    <w:pPr>
      <w:tabs>
        <w:tab w:val="right" w:leader="dot" w:pos="9071"/>
      </w:tabs>
      <w:ind w:left="1701"/>
    </w:pPr>
  </w:style>
  <w:style w:type="paragraph" w:customStyle="1" w:styleId="ListAlpha">
    <w:name w:val="List Alpha"/>
    <w:basedOn w:val="List"/>
    <w:rsid w:val="00CC26B5"/>
    <w:pPr>
      <w:numPr>
        <w:numId w:val="10"/>
      </w:numPr>
    </w:pPr>
  </w:style>
  <w:style w:type="paragraph" w:customStyle="1" w:styleId="ListAlpha2">
    <w:name w:val="List Alpha 2"/>
    <w:basedOn w:val="List2"/>
    <w:rsid w:val="00CC26B5"/>
    <w:pPr>
      <w:numPr>
        <w:numId w:val="9"/>
      </w:numPr>
    </w:pPr>
  </w:style>
  <w:style w:type="paragraph" w:styleId="List2">
    <w:name w:val="List 2"/>
    <w:basedOn w:val="BodyText"/>
    <w:rsid w:val="00CC26B5"/>
    <w:pPr>
      <w:tabs>
        <w:tab w:val="left" w:pos="680"/>
      </w:tabs>
      <w:spacing w:before="60" w:after="60"/>
      <w:ind w:left="680" w:hanging="340"/>
    </w:pPr>
  </w:style>
  <w:style w:type="paragraph" w:styleId="List3">
    <w:name w:val="List 3"/>
    <w:basedOn w:val="BodyText"/>
    <w:rsid w:val="00CC26B5"/>
    <w:pPr>
      <w:tabs>
        <w:tab w:val="left" w:pos="1021"/>
      </w:tabs>
      <w:spacing w:before="60" w:after="60"/>
      <w:ind w:left="1020" w:hanging="340"/>
    </w:pPr>
  </w:style>
  <w:style w:type="paragraph" w:styleId="List4">
    <w:name w:val="List 4"/>
    <w:basedOn w:val="BodyText"/>
    <w:rsid w:val="00CC26B5"/>
    <w:pPr>
      <w:tabs>
        <w:tab w:val="left" w:pos="1361"/>
      </w:tabs>
      <w:spacing w:before="60" w:after="60"/>
      <w:ind w:left="1361" w:hanging="340"/>
    </w:pPr>
  </w:style>
  <w:style w:type="paragraph" w:styleId="List5">
    <w:name w:val="List 5"/>
    <w:basedOn w:val="BodyText"/>
    <w:rsid w:val="00CC26B5"/>
    <w:pPr>
      <w:tabs>
        <w:tab w:val="left" w:pos="1701"/>
      </w:tabs>
      <w:spacing w:before="60" w:after="60"/>
      <w:ind w:left="1701" w:hanging="340"/>
    </w:pPr>
  </w:style>
  <w:style w:type="paragraph" w:styleId="ListBullet3">
    <w:name w:val="List Bullet 3"/>
    <w:basedOn w:val="List3"/>
    <w:rsid w:val="00CC26B5"/>
    <w:pPr>
      <w:numPr>
        <w:numId w:val="15"/>
      </w:numPr>
      <w:tabs>
        <w:tab w:val="clear" w:pos="1021"/>
      </w:tabs>
      <w:ind w:left="1037" w:hanging="357"/>
    </w:pPr>
  </w:style>
  <w:style w:type="paragraph" w:styleId="ListBullet5">
    <w:name w:val="List Bullet 5"/>
    <w:basedOn w:val="List5"/>
    <w:rsid w:val="00CC26B5"/>
    <w:pPr>
      <w:numPr>
        <w:numId w:val="5"/>
      </w:numPr>
    </w:pPr>
  </w:style>
  <w:style w:type="paragraph" w:styleId="ListContinue2">
    <w:name w:val="List Continue 2"/>
    <w:basedOn w:val="List2"/>
    <w:rsid w:val="00CC26B5"/>
    <w:pPr>
      <w:ind w:firstLine="0"/>
    </w:pPr>
  </w:style>
  <w:style w:type="paragraph" w:styleId="ListContinue3">
    <w:name w:val="List Continue 3"/>
    <w:basedOn w:val="List3"/>
    <w:rsid w:val="00CC26B5"/>
    <w:pPr>
      <w:ind w:left="1021" w:firstLine="0"/>
    </w:pPr>
  </w:style>
  <w:style w:type="paragraph" w:styleId="ListContinue4">
    <w:name w:val="List Continue 4"/>
    <w:basedOn w:val="List4"/>
    <w:rsid w:val="00CC26B5"/>
    <w:pPr>
      <w:ind w:firstLine="0"/>
    </w:pPr>
  </w:style>
  <w:style w:type="paragraph" w:styleId="ListContinue5">
    <w:name w:val="List Continue 5"/>
    <w:basedOn w:val="List5"/>
    <w:rsid w:val="00CC26B5"/>
    <w:pPr>
      <w:ind w:firstLine="0"/>
    </w:pPr>
  </w:style>
  <w:style w:type="paragraph" w:styleId="ListNumber3">
    <w:name w:val="List Number 3"/>
    <w:basedOn w:val="List3"/>
    <w:rsid w:val="00CC26B5"/>
    <w:pPr>
      <w:numPr>
        <w:numId w:val="6"/>
      </w:numPr>
    </w:pPr>
  </w:style>
  <w:style w:type="paragraph" w:styleId="ListNumber4">
    <w:name w:val="List Number 4"/>
    <w:basedOn w:val="List4"/>
    <w:rsid w:val="00CC26B5"/>
    <w:pPr>
      <w:numPr>
        <w:numId w:val="7"/>
      </w:numPr>
    </w:pPr>
  </w:style>
  <w:style w:type="paragraph" w:styleId="ListNumber5">
    <w:name w:val="List Number 5"/>
    <w:basedOn w:val="List5"/>
    <w:rsid w:val="00CC26B5"/>
    <w:pPr>
      <w:numPr>
        <w:numId w:val="8"/>
      </w:numPr>
    </w:pPr>
  </w:style>
  <w:style w:type="paragraph" w:styleId="BlockText">
    <w:name w:val="Block Text"/>
    <w:basedOn w:val="Normal"/>
    <w:rsid w:val="00CC26B5"/>
    <w:pPr>
      <w:spacing w:after="120"/>
      <w:ind w:left="1440" w:right="1440"/>
    </w:pPr>
  </w:style>
  <w:style w:type="character" w:customStyle="1" w:styleId="Subscript">
    <w:name w:val="Subscript"/>
    <w:basedOn w:val="DefaultParagraphFont"/>
    <w:rsid w:val="00CC26B5"/>
    <w:rPr>
      <w:sz w:val="16"/>
      <w:vertAlign w:val="subscript"/>
    </w:rPr>
  </w:style>
  <w:style w:type="character" w:customStyle="1" w:styleId="Superscript">
    <w:name w:val="Superscript"/>
    <w:basedOn w:val="DefaultParagraphFont"/>
    <w:rsid w:val="00CC26B5"/>
    <w:rPr>
      <w:sz w:val="16"/>
      <w:vertAlign w:val="superscript"/>
    </w:rPr>
  </w:style>
  <w:style w:type="character" w:customStyle="1" w:styleId="Symbols">
    <w:name w:val="Symbols"/>
    <w:basedOn w:val="DefaultParagraphFont"/>
    <w:rsid w:val="00CC26B5"/>
    <w:rPr>
      <w:rFonts w:ascii="Symbol" w:hAnsi="Symbol"/>
    </w:rPr>
  </w:style>
  <w:style w:type="character" w:customStyle="1" w:styleId="MenuOptions">
    <w:name w:val="Menu Options"/>
    <w:basedOn w:val="DefaultParagraphFont"/>
    <w:rsid w:val="00CC26B5"/>
    <w:rPr>
      <w:rFonts w:ascii="Arial Narrow" w:hAnsi="Arial Narrow"/>
      <w:smallCaps/>
    </w:rPr>
  </w:style>
  <w:style w:type="character" w:customStyle="1" w:styleId="Buttons">
    <w:name w:val="Buttons"/>
    <w:basedOn w:val="DefaultParagraphFont"/>
    <w:rsid w:val="00CC26B5"/>
    <w:rPr>
      <w:b/>
    </w:rPr>
  </w:style>
  <w:style w:type="character" w:customStyle="1" w:styleId="Underlined">
    <w:name w:val="Underlined"/>
    <w:basedOn w:val="DefaultParagraphFont"/>
    <w:rsid w:val="00CC26B5"/>
    <w:rPr>
      <w:u w:val="single"/>
    </w:rPr>
  </w:style>
  <w:style w:type="paragraph" w:customStyle="1" w:styleId="TableBodyTextRight">
    <w:name w:val="Table Body Text Right"/>
    <w:basedOn w:val="TableBodyText"/>
    <w:rsid w:val="00CC26B5"/>
    <w:pPr>
      <w:widowControl w:val="0"/>
      <w:autoSpaceDE w:val="0"/>
      <w:autoSpaceDN w:val="0"/>
      <w:adjustRightInd w:val="0"/>
      <w:jc w:val="right"/>
    </w:pPr>
    <w:rPr>
      <w:rFonts w:cs="Arial"/>
      <w:szCs w:val="18"/>
    </w:rPr>
  </w:style>
  <w:style w:type="paragraph" w:customStyle="1" w:styleId="CopyrightText">
    <w:name w:val="Copyright Text"/>
    <w:basedOn w:val="BodyText"/>
    <w:rsid w:val="00CC26B5"/>
    <w:rPr>
      <w:sz w:val="18"/>
    </w:rPr>
  </w:style>
  <w:style w:type="paragraph" w:customStyle="1" w:styleId="BodySmallRight">
    <w:name w:val="Body Small Right"/>
    <w:basedOn w:val="BodyTextRight"/>
    <w:rsid w:val="00CC26B5"/>
    <w:rPr>
      <w:sz w:val="18"/>
      <w:szCs w:val="18"/>
    </w:rPr>
  </w:style>
  <w:style w:type="paragraph" w:customStyle="1" w:styleId="MarginEdition">
    <w:name w:val="Margin Edition"/>
    <w:basedOn w:val="MarginNote"/>
    <w:rsid w:val="00CC26B5"/>
    <w:pPr>
      <w:spacing w:before="0" w:after="0"/>
    </w:pPr>
    <w:rPr>
      <w:rFonts w:ascii="Times New Roman" w:hAnsi="Times New Roman"/>
      <w:color w:val="999999"/>
    </w:rPr>
  </w:style>
  <w:style w:type="paragraph" w:customStyle="1" w:styleId="Spacer">
    <w:name w:val="Spacer"/>
    <w:basedOn w:val="Normal"/>
    <w:rsid w:val="00CC26B5"/>
    <w:rPr>
      <w:sz w:val="2"/>
      <w:szCs w:val="2"/>
    </w:rPr>
  </w:style>
  <w:style w:type="character" w:customStyle="1" w:styleId="Small">
    <w:name w:val="Small"/>
    <w:basedOn w:val="DefaultParagraphFont"/>
    <w:rsid w:val="00CC26B5"/>
    <w:rPr>
      <w:sz w:val="16"/>
    </w:rPr>
  </w:style>
  <w:style w:type="paragraph" w:customStyle="1" w:styleId="WideTable">
    <w:name w:val="Wide Table"/>
    <w:basedOn w:val="Normal"/>
    <w:rsid w:val="00CC26B5"/>
    <w:pPr>
      <w:ind w:left="-1418"/>
    </w:pPr>
    <w:rPr>
      <w:sz w:val="2"/>
      <w:szCs w:val="2"/>
    </w:rPr>
  </w:style>
  <w:style w:type="character" w:styleId="PageNumber">
    <w:name w:val="page number"/>
    <w:basedOn w:val="DefaultParagraphFont"/>
    <w:rsid w:val="00CC26B5"/>
  </w:style>
  <w:style w:type="paragraph" w:styleId="Quote">
    <w:name w:val="Quote"/>
    <w:basedOn w:val="Heading1"/>
    <w:link w:val="QuoteChar"/>
    <w:qFormat/>
    <w:rsid w:val="00CC26B5"/>
    <w:rPr>
      <w:b w:val="0"/>
      <w:sz w:val="72"/>
      <w:szCs w:val="72"/>
      <w:lang w:val="en-NZ"/>
    </w:rPr>
  </w:style>
  <w:style w:type="character" w:customStyle="1" w:styleId="QuoteChar">
    <w:name w:val="Quote Char"/>
    <w:basedOn w:val="DefaultParagraphFont"/>
    <w:link w:val="Quote"/>
    <w:rsid w:val="00CC2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6B5"/>
    <w:pPr>
      <w:pageBreakBefore/>
    </w:pPr>
  </w:style>
  <w:style w:type="paragraph" w:customStyle="1" w:styleId="Border">
    <w:name w:val="Border"/>
    <w:basedOn w:val="Normal"/>
    <w:qFormat/>
    <w:rsid w:val="00CC2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6B5"/>
    <w:rPr>
      <w:b/>
      <w:bCs/>
      <w:i/>
      <w:iCs/>
      <w:color w:val="auto"/>
    </w:rPr>
  </w:style>
  <w:style w:type="paragraph" w:styleId="IntenseQuote">
    <w:name w:val="Intense Quote"/>
    <w:basedOn w:val="Normal"/>
    <w:next w:val="Normal"/>
    <w:link w:val="IntenseQuoteChar"/>
    <w:uiPriority w:val="30"/>
    <w:qFormat/>
    <w:rsid w:val="00CC2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6B5"/>
    <w:rPr>
      <w:smallCaps/>
      <w:color w:val="auto"/>
      <w:u w:val="single"/>
    </w:rPr>
  </w:style>
  <w:style w:type="character" w:styleId="IntenseReference">
    <w:name w:val="Intense Reference"/>
    <w:basedOn w:val="DefaultParagraphFont"/>
    <w:uiPriority w:val="32"/>
    <w:qFormat/>
    <w:rsid w:val="00CC26B5"/>
    <w:rPr>
      <w:b/>
      <w:bCs/>
      <w:smallCaps/>
      <w:color w:val="auto"/>
      <w:spacing w:val="5"/>
      <w:u w:val="single"/>
    </w:rPr>
  </w:style>
  <w:style w:type="paragraph" w:customStyle="1" w:styleId="2ColumnHeading">
    <w:name w:val="2Column Heading"/>
    <w:basedOn w:val="BodyText"/>
    <w:qFormat/>
    <w:rsid w:val="00CC26B5"/>
    <w:pPr>
      <w:spacing w:after="60"/>
      <w:ind w:left="-2268"/>
    </w:pPr>
    <w:rPr>
      <w:b/>
    </w:rPr>
  </w:style>
  <w:style w:type="paragraph" w:customStyle="1" w:styleId="Heading1TOC">
    <w:name w:val="Heading1 TOC"/>
    <w:basedOn w:val="Normal"/>
    <w:qFormat/>
    <w:rsid w:val="00CC26B5"/>
    <w:pPr>
      <w:spacing w:before="240" w:after="120"/>
    </w:pPr>
    <w:rPr>
      <w:rFonts w:ascii="Times New Roman" w:hAnsi="Times New Roman"/>
      <w:b/>
      <w:sz w:val="32"/>
    </w:rPr>
  </w:style>
  <w:style w:type="paragraph" w:customStyle="1" w:styleId="Heading2TOC">
    <w:name w:val="Heading2 TOC"/>
    <w:basedOn w:val="Normal"/>
    <w:qFormat/>
    <w:rsid w:val="00CC26B5"/>
    <w:pPr>
      <w:spacing w:before="240" w:after="60"/>
    </w:pPr>
    <w:rPr>
      <w:rFonts w:ascii="Times New Roman" w:hAnsi="Times New Roman"/>
      <w:b/>
      <w:sz w:val="28"/>
    </w:rPr>
  </w:style>
  <w:style w:type="character" w:customStyle="1" w:styleId="Underline">
    <w:name w:val="Underline"/>
    <w:basedOn w:val="DefaultParagraphFont"/>
    <w:qFormat/>
    <w:rsid w:val="00CC26B5"/>
    <w:rPr>
      <w:u w:val="single"/>
    </w:rPr>
  </w:style>
  <w:style w:type="character" w:customStyle="1" w:styleId="BoldandItalics">
    <w:name w:val="Bold and Italics"/>
    <w:qFormat/>
    <w:rsid w:val="00CC26B5"/>
    <w:rPr>
      <w:b/>
      <w:i/>
      <w:u w:val="none"/>
    </w:rPr>
  </w:style>
  <w:style w:type="paragraph" w:styleId="BalloonText">
    <w:name w:val="Balloon Text"/>
    <w:basedOn w:val="Normal"/>
    <w:link w:val="BalloonTextChar"/>
    <w:rsid w:val="00CC26B5"/>
    <w:rPr>
      <w:rFonts w:ascii="Tahoma" w:hAnsi="Tahoma" w:cs="Tahoma"/>
      <w:sz w:val="16"/>
      <w:szCs w:val="16"/>
    </w:rPr>
  </w:style>
  <w:style w:type="character" w:customStyle="1" w:styleId="BalloonTextChar">
    <w:name w:val="Balloon Text Char"/>
    <w:basedOn w:val="DefaultParagraphFont"/>
    <w:link w:val="BalloonText"/>
    <w:rsid w:val="00CC2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6B5"/>
    <w:rPr>
      <w:b/>
      <w:color w:val="660033"/>
      <w:spacing w:val="0"/>
    </w:rPr>
  </w:style>
  <w:style w:type="paragraph" w:customStyle="1" w:styleId="Nameditemlist">
    <w:name w:val="Named item list"/>
    <w:basedOn w:val="BodyText"/>
    <w:qFormat/>
    <w:rsid w:val="00CC26B5"/>
    <w:pPr>
      <w:tabs>
        <w:tab w:val="left" w:pos="2835"/>
      </w:tabs>
      <w:ind w:left="2835" w:hanging="2835"/>
    </w:pPr>
  </w:style>
  <w:style w:type="paragraph" w:customStyle="1" w:styleId="BodyTextnopadding">
    <w:name w:val="Body Text no padding"/>
    <w:basedOn w:val="BodyText"/>
    <w:qFormat/>
    <w:rsid w:val="00CC26B5"/>
    <w:pPr>
      <w:spacing w:before="0" w:after="0"/>
    </w:pPr>
  </w:style>
  <w:style w:type="paragraph" w:customStyle="1" w:styleId="BodyTextBold">
    <w:name w:val="Body Text Bold"/>
    <w:basedOn w:val="BodyText"/>
    <w:qFormat/>
    <w:rsid w:val="00CC26B5"/>
    <w:rPr>
      <w:b/>
    </w:rPr>
  </w:style>
  <w:style w:type="character" w:styleId="Hyperlink">
    <w:name w:val="Hyperlink"/>
    <w:basedOn w:val="DefaultParagraphFont"/>
    <w:uiPriority w:val="99"/>
    <w:unhideWhenUsed/>
    <w:rsid w:val="002B56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4313</Characters>
  <Application>Microsoft Office Word</Application>
  <DocSecurity>0</DocSecurity>
  <Lines>95</Lines>
  <Paragraphs>76</Paragraphs>
  <ScaleCrop>false</ScaleCrop>
  <Company>Author-it Software Corporation Ltd.</Company>
  <LinksUpToDate>false</LinksUpToDate>
  <CharactersWithSpaces>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TLIX0013X Maintain stock control and receivals</dc:title>
  <dc:subject>Approved</dc:subject>
  <dc:creator>Industry Skills Australia</dc:creator>
  <cp:keywords>Release: 2</cp:keywords>
  <dc:description>Review Date: 12 April 2008</dc:description>
  <cp:lastModifiedBy>HSD_TPCMSd.prod</cp:lastModifiedBy>
  <cp:revision>3</cp:revision>
  <dcterms:created xsi:type="dcterms:W3CDTF">2025-05-29T06:03:00Z</dcterms:created>
  <dcterms:modified xsi:type="dcterms:W3CDTF">2025-05-29T06:03:00Z</dcterms:modified>
</cp:coreProperties>
</file>