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6DEC" w:rsidP="00DC6D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TLIX0011X Establish blockchain in supply chains</w:t>
      </w:r>
      <w:r>
        <w:fldChar w:fldCharType="end"/>
      </w:r>
    </w:p>
    <w:p w:rsidR="00DC6DEC" w:rsidP="00DC6DEC">
      <w:pPr>
        <w:pStyle w:val="Version"/>
        <w:sectPr w:rsidSect="002E6A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A31" w:rsidP="002E6A31">
      <w:pPr>
        <w:pStyle w:val="SuperHeading"/>
      </w:pPr>
      <w:r w:rsidRPr="002E6A31">
        <w:t>TLIX0011X Establish blockchain in supply chains</w:t>
      </w:r>
    </w:p>
    <w:p w:rsidR="00000000" w:rsidRPr="002E6A31" w:rsidP="002E6A31">
      <w:pPr>
        <w:pStyle w:val="Heading1"/>
      </w:pPr>
      <w:bookmarkStart w:id="1" w:name="O_1066291"/>
      <w:bookmarkEnd w:id="1"/>
      <w:r w:rsidRPr="002E6A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rPr>
                <w:rStyle w:val="SpecialBold"/>
              </w:rPr>
              <w:t>Release 1.</w:t>
            </w:r>
            <w:r w:rsidRPr="002E6A31">
              <w:t xml:space="preserve"> This is the first release of this unit of competency in the TLI Transport and Logistics Training Package.</w:t>
            </w:r>
          </w:p>
        </w:tc>
      </w:tr>
    </w:tbl>
    <w:p w:rsidR="00000000" w:rsidRPr="002E6A31" w:rsidP="002E6A31">
      <w:pPr>
        <w:pStyle w:val="NoPaddingFontSize1"/>
      </w:pPr>
    </w:p>
    <w:p w:rsidR="00000000" w:rsidRPr="002E6A31" w:rsidP="002E6A31">
      <w:pPr>
        <w:pStyle w:val="AllowPageBreak"/>
      </w:pPr>
    </w:p>
    <w:p w:rsidR="00000000" w:rsidRPr="002E6A31" w:rsidP="002E6A31">
      <w:pPr>
        <w:pStyle w:val="Heading1"/>
      </w:pPr>
      <w:bookmarkStart w:id="2" w:name="O_1066292"/>
      <w:bookmarkEnd w:id="2"/>
      <w:r w:rsidRPr="002E6A3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t>This unit of competency describes the skills and knowledge required to estab</w:t>
            </w:r>
            <w:r w:rsidRPr="002E6A31">
              <w:t>lish blockchain in supply chains. It includes preparing for blockchain, developing a strategy for blockchain, implementing and managing blockchain, managing change associated with blockchain and reviewing and reporting on blockchain.</w:t>
            </w:r>
          </w:p>
          <w:p w:rsidR="00000000" w:rsidRPr="002E6A31" w:rsidP="002E6A31">
            <w:pPr>
              <w:pStyle w:val="BodyText"/>
            </w:pPr>
            <w:r w:rsidRPr="002E6A31">
              <w:t>Blockchain is a decent</w:t>
            </w:r>
            <w:r w:rsidRPr="002E6A31">
              <w:t>ralised, shared, immutable database of transactions that uses consensus mechanisms to operate. Blockchain networks can be public with anyone able to join and see any transaction that happens. A private (permissioned) blockchain, that restricts who can acce</w:t>
            </w:r>
            <w:r w:rsidRPr="002E6A31">
              <w:t>ss the network, is required when working with supply chains. Participants in the supply chain using blockchain will determine what data is seen by whom.</w:t>
            </w:r>
          </w:p>
          <w:p w:rsidR="00000000" w:rsidRPr="002E6A31" w:rsidP="002E6A31">
            <w:pPr>
              <w:pStyle w:val="BodyText"/>
            </w:pPr>
            <w:r w:rsidRPr="002E6A31">
              <w:t>The digitisation of transactions and data using blockchain enables supply chain organisations to implem</w:t>
            </w:r>
            <w:r w:rsidRPr="002E6A31">
              <w:t>ent and monitor their ethical practices, contract management, traceability, transparency, authenticity and compliance programs.</w:t>
            </w:r>
          </w:p>
          <w:p w:rsidR="00000000" w:rsidRPr="002E6A31" w:rsidP="002E6A31">
            <w:pPr>
              <w:pStyle w:val="BodyText"/>
            </w:pPr>
            <w:r w:rsidRPr="002E6A31">
              <w:t>The unit is applicable to those with management or team leadership responsibilities within a supply chain.</w:t>
            </w:r>
          </w:p>
          <w:p w:rsidR="00000000" w:rsidRPr="002E6A31" w:rsidP="002E6A31">
            <w:pPr>
              <w:pStyle w:val="BodyText"/>
            </w:pPr>
            <w:r w:rsidRPr="002E6A31">
              <w:t>No licensing, legisla</w:t>
            </w:r>
            <w:r w:rsidRPr="002E6A31">
              <w:t>tive or certification requirements apply to this unit at the time of publication.</w:t>
            </w:r>
          </w:p>
        </w:tc>
      </w:tr>
    </w:tbl>
    <w:p w:rsidR="00000000" w:rsidRPr="002E6A31" w:rsidP="002E6A31">
      <w:pPr>
        <w:pStyle w:val="NoPaddingFontSize1"/>
      </w:pPr>
    </w:p>
    <w:p w:rsidR="00000000" w:rsidRPr="002E6A31" w:rsidP="002E6A31">
      <w:pPr>
        <w:pStyle w:val="AllowPageBreak"/>
      </w:pPr>
    </w:p>
    <w:p w:rsidR="00000000" w:rsidRPr="002E6A31" w:rsidP="002E6A31">
      <w:pPr>
        <w:pStyle w:val="Heading1"/>
      </w:pPr>
      <w:bookmarkStart w:id="3" w:name="O_1066293"/>
      <w:bookmarkEnd w:id="3"/>
      <w:r w:rsidRPr="002E6A3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t>Not applicable.</w:t>
            </w:r>
          </w:p>
        </w:tc>
      </w:tr>
    </w:tbl>
    <w:p w:rsidR="00000000" w:rsidRPr="002E6A31" w:rsidP="002E6A31">
      <w:pPr>
        <w:pStyle w:val="NoPaddingFontSize1"/>
      </w:pPr>
    </w:p>
    <w:p w:rsidR="00000000" w:rsidRPr="002E6A31" w:rsidP="002E6A31">
      <w:pPr>
        <w:pStyle w:val="AllowPageBreak"/>
      </w:pPr>
    </w:p>
    <w:p w:rsidR="00000000" w:rsidRPr="002E6A31" w:rsidP="002E6A31">
      <w:pPr>
        <w:pStyle w:val="Heading1"/>
      </w:pPr>
      <w:bookmarkStart w:id="4" w:name="O_1066294"/>
      <w:bookmarkEnd w:id="4"/>
      <w:r w:rsidRPr="002E6A3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t>X - Logistics</w:t>
            </w:r>
          </w:p>
        </w:tc>
      </w:tr>
    </w:tbl>
    <w:p w:rsidR="00000000" w:rsidRPr="002E6A31" w:rsidP="002E6A31">
      <w:pPr>
        <w:pStyle w:val="NoPaddingFontSize1"/>
      </w:pPr>
    </w:p>
    <w:p w:rsidR="00000000" w:rsidRPr="002E6A31" w:rsidP="002E6A31">
      <w:pPr>
        <w:pStyle w:val="AllowPageBreak"/>
      </w:pPr>
    </w:p>
    <w:p w:rsidR="00000000" w:rsidRPr="002E6A31" w:rsidP="002E6A31">
      <w:pPr>
        <w:pStyle w:val="Heading1"/>
      </w:pPr>
      <w:bookmarkStart w:id="5" w:name="O_1066295"/>
      <w:bookmarkEnd w:id="5"/>
      <w:r w:rsidRPr="002E6A3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t>Cross sector</w:t>
            </w:r>
          </w:p>
        </w:tc>
      </w:tr>
    </w:tbl>
    <w:p w:rsidR="00000000" w:rsidRPr="002E6A31" w:rsidP="002E6A31">
      <w:pPr>
        <w:pStyle w:val="NoPaddingFontSize1"/>
      </w:pPr>
    </w:p>
    <w:p w:rsidR="00000000" w:rsidRPr="002E6A31" w:rsidP="002E6A31">
      <w:pPr>
        <w:pStyle w:val="AllowPageBreak"/>
      </w:pPr>
    </w:p>
    <w:p w:rsidR="00000000" w:rsidRPr="002E6A31" w:rsidP="002E6A31">
      <w:pPr>
        <w:pStyle w:val="Heading1"/>
      </w:pPr>
      <w:bookmarkStart w:id="6" w:name="O_1066296"/>
      <w:bookmarkEnd w:id="6"/>
      <w:r w:rsidRPr="002E6A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9"/>
        <w:gridCol w:w="638"/>
        <w:gridCol w:w="5259"/>
      </w:tblGrid>
      <w:tr w:rsidTr="002E6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rPr>
                <w:rStyle w:val="SpecialBold"/>
              </w:rPr>
              <w:t>ELEMENTS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rPr>
                <w:rStyle w:val="SpecialBold"/>
              </w:rPr>
              <w:t>PERFORMANCE CRITERIA</w:t>
            </w:r>
          </w:p>
        </w:tc>
      </w:tr>
      <w:tr w:rsidTr="002E6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t>Elements describe the essential outcomes.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t>Performance criteria describe the performance needed to demonstrate achievement of the element.</w:t>
            </w:r>
          </w:p>
        </w:tc>
      </w:tr>
      <w:tr w:rsidTr="002E6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rPr>
                <w:rStyle w:val="SpecialBold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rPr>
                <w:rStyle w:val="SpecialBold"/>
              </w:rPr>
              <w:t xml:space="preserve">Prepare for blockchain 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rPr>
                <w:rStyle w:val="SpecialBold"/>
              </w:rPr>
              <w:t>1.1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t xml:space="preserve">Collaborations, relationships and stakeholders in the supply chain are mapped </w:t>
            </w:r>
          </w:p>
        </w:tc>
      </w:tr>
      <w:tr w:rsidTr="002E6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rPr>
                <w:rStyle w:val="SpecialBold"/>
              </w:rPr>
              <w:t>1.2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t>Applicable legislative requirements, industry standards and codes of practice for blockchain are identified</w:t>
            </w:r>
          </w:p>
        </w:tc>
      </w:tr>
      <w:tr w:rsidTr="002E6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rPr>
                <w:rStyle w:val="SpecialBold"/>
              </w:rPr>
              <w:t>1.3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t xml:space="preserve">Level of responsibility and authority for establishing blockchain is confirmed </w:t>
            </w:r>
          </w:p>
        </w:tc>
      </w:tr>
      <w:tr w:rsidTr="002E6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rPr>
                <w:rStyle w:val="SpecialBold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rPr>
                <w:rStyle w:val="SpecialBold"/>
              </w:rPr>
              <w:t xml:space="preserve">Develop a strategy for blockchain 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rPr>
                <w:rStyle w:val="SpecialBold"/>
              </w:rPr>
              <w:t>2.1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t>Blockchain strategy, including Key Performance Indicators (KPIs), is developed</w:t>
            </w:r>
          </w:p>
        </w:tc>
      </w:tr>
      <w:tr w:rsidTr="002E6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rPr>
                <w:rStyle w:val="SpecialBold"/>
              </w:rPr>
              <w:t>2.2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t>Policies, procedures and processes, including da</w:t>
            </w:r>
            <w:r w:rsidRPr="002E6A31">
              <w:t xml:space="preserve">ta distribution and customer assistance protocols, are developed to support the blockchain strategy  </w:t>
            </w:r>
          </w:p>
        </w:tc>
      </w:tr>
      <w:tr w:rsidTr="002E6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rPr>
                <w:rStyle w:val="SpecialBold"/>
              </w:rPr>
              <w:t>2.3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t xml:space="preserve">Supply chain stakeholder communication plan is determined </w:t>
            </w:r>
          </w:p>
        </w:tc>
      </w:tr>
      <w:tr w:rsidTr="002E6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rPr>
                <w:rStyle w:val="SpecialBold"/>
              </w:rPr>
              <w:t>2.4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t>Compliance protocols are developed, in accordance with legislative requirements a</w:t>
            </w:r>
            <w:r w:rsidRPr="002E6A31">
              <w:t xml:space="preserve">nd industry standards, to support the blockchain strategy </w:t>
            </w:r>
          </w:p>
        </w:tc>
      </w:tr>
      <w:tr w:rsidTr="002E6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rPr>
                <w:rStyle w:val="SpecialBold"/>
              </w:rPr>
              <w:t>2.5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t>Risks associated with blockchain are ascertained and risk controls are developed, in accordance with risk management procedures and industry standards</w:t>
            </w:r>
          </w:p>
        </w:tc>
      </w:tr>
      <w:tr w:rsidTr="002E6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rPr>
                <w:rStyle w:val="SpecialBold"/>
              </w:rPr>
              <w:t>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rPr>
                <w:rStyle w:val="SpecialBold"/>
              </w:rPr>
              <w:t>Implement and manage</w:t>
            </w:r>
            <w:r w:rsidRPr="002E6A31">
              <w:t xml:space="preserve"> </w:t>
            </w:r>
            <w:r w:rsidRPr="002E6A31">
              <w:rPr>
                <w:rStyle w:val="SpecialBold"/>
              </w:rPr>
              <w:t xml:space="preserve">blockchain 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rPr>
                <w:rStyle w:val="SpecialBold"/>
              </w:rPr>
              <w:t>3.1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t>Blockchain is established, on completion of trialling activities, in the supply chain</w:t>
            </w:r>
          </w:p>
        </w:tc>
      </w:tr>
      <w:tr w:rsidTr="002E6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rPr>
                <w:rStyle w:val="SpecialBold"/>
              </w:rPr>
              <w:t>3.2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t xml:space="preserve">Policies, procedures and processes are applied, in accordance with the blockchain strategy  </w:t>
            </w:r>
          </w:p>
        </w:tc>
      </w:tr>
      <w:tr w:rsidTr="002E6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rPr>
                <w:rStyle w:val="SpecialBold"/>
              </w:rPr>
              <w:t>3.3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t>Risk controls and compliance protocols are defined and impl</w:t>
            </w:r>
            <w:r w:rsidRPr="002E6A31">
              <w:t xml:space="preserve">emented to support blockchain use </w:t>
            </w:r>
          </w:p>
        </w:tc>
      </w:tr>
      <w:tr w:rsidTr="002E6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rPr>
                <w:rStyle w:val="SpecialBold"/>
              </w:rPr>
              <w:t>3.4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t>Support processes for blockchain users are implemented and managed, in accordance with the blockchain strategy and industry standards</w:t>
            </w:r>
          </w:p>
        </w:tc>
      </w:tr>
      <w:tr w:rsidTr="002E6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rPr>
                <w:rStyle w:val="SpecialBold"/>
              </w:rPr>
              <w:t>3.5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t>Onboarding and access control mechanisms for blockchain use are managed, in accordance with the blockchain strategy and industry standards</w:t>
            </w:r>
          </w:p>
        </w:tc>
      </w:tr>
      <w:tr w:rsidTr="002E6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rPr>
                <w:rStyle w:val="SpecialBold"/>
              </w:rPr>
              <w:t>4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rPr>
                <w:rStyle w:val="SpecialBold"/>
              </w:rPr>
              <w:t>Manage blockchain</w:t>
            </w:r>
            <w:r w:rsidRPr="002E6A31">
              <w:t xml:space="preserve"> </w:t>
            </w:r>
            <w:r w:rsidRPr="002E6A31">
              <w:rPr>
                <w:rStyle w:val="SpecialBold"/>
              </w:rPr>
              <w:t>change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rPr>
                <w:rStyle w:val="SpecialBold"/>
              </w:rPr>
              <w:t>4.1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t xml:space="preserve">Blockchain requirements and timelines are </w:t>
            </w:r>
            <w:r w:rsidRPr="002E6A31">
              <w:t xml:space="preserve">communicated to supply chain stakeholders </w:t>
            </w:r>
          </w:p>
        </w:tc>
      </w:tr>
      <w:tr w:rsidTr="002E6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rPr>
                <w:rStyle w:val="SpecialBold"/>
              </w:rPr>
              <w:t>4.2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t>Training, coaching, mentoring and networking opportunities for supply chain stakeholders are managed, in accordance with the blockchain strategy</w:t>
            </w:r>
          </w:p>
        </w:tc>
      </w:tr>
      <w:tr w:rsidTr="002E6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rPr>
                <w:rStyle w:val="SpecialBold"/>
              </w:rPr>
              <w:t>4.3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t xml:space="preserve">Supply chain stakeholder concerns and complaints are documented and addressed, in accordance with blockchain procedures  </w:t>
            </w:r>
          </w:p>
        </w:tc>
      </w:tr>
      <w:tr w:rsidTr="002E6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rPr>
                <w:rStyle w:val="SpecialBold"/>
              </w:rPr>
              <w:t>5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rPr>
                <w:rStyle w:val="SpecialBold"/>
              </w:rPr>
              <w:t>Review and report on blockchain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rPr>
                <w:rStyle w:val="SpecialBold"/>
              </w:rPr>
              <w:t>5.1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t xml:space="preserve">Blockchain strategy and KPIs are reviewed, in consultation with supply chain stakeholders </w:t>
            </w:r>
          </w:p>
        </w:tc>
      </w:tr>
      <w:tr w:rsidTr="002E6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rPr>
                <w:rStyle w:val="SpecialBold"/>
              </w:rPr>
              <w:t>5</w:t>
            </w:r>
            <w:r w:rsidRPr="002E6A31">
              <w:rPr>
                <w:rStyle w:val="SpecialBold"/>
              </w:rPr>
              <w:t>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t xml:space="preserve">Report on blockchain implementation is prepared and presented to approved supply chain stakeholders </w:t>
            </w:r>
          </w:p>
        </w:tc>
      </w:tr>
      <w:tr w:rsidTr="002E6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31">
            <w:pPr>
              <w:pStyle w:val="BodyText"/>
              <w:rPr>
                <w:lang w:val="en-NZ"/>
              </w:rPr>
            </w:pPr>
            <w:r w:rsidRPr="002E6A31">
              <w:rPr>
                <w:rStyle w:val="SpecialBold"/>
              </w:rPr>
              <w:t>5.3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t xml:space="preserve">Continuous improvement actions to support blockchain use in the supply chain are documented </w:t>
            </w:r>
          </w:p>
        </w:tc>
      </w:tr>
    </w:tbl>
    <w:p w:rsidR="00000000" w:rsidRPr="002E6A31" w:rsidP="002E6A31">
      <w:pPr>
        <w:pStyle w:val="NoPaddingFontSize1"/>
      </w:pPr>
    </w:p>
    <w:p w:rsidR="00000000" w:rsidRPr="002E6A31" w:rsidP="002E6A31">
      <w:pPr>
        <w:pStyle w:val="AllowPageBreak"/>
      </w:pPr>
    </w:p>
    <w:p w:rsidR="00000000" w:rsidRPr="002E6A31" w:rsidP="002E6A31">
      <w:pPr>
        <w:pStyle w:val="Heading1"/>
      </w:pPr>
      <w:bookmarkStart w:id="7" w:name="O_1066297"/>
      <w:bookmarkEnd w:id="7"/>
      <w:r w:rsidRPr="002E6A3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t>Foundation skills essential to performance are explicit in the performance criteria of this unit of competency.</w:t>
            </w:r>
          </w:p>
        </w:tc>
      </w:tr>
    </w:tbl>
    <w:p w:rsidR="00000000" w:rsidRPr="002E6A31" w:rsidP="002E6A31">
      <w:pPr>
        <w:pStyle w:val="NoPaddingFontSize1"/>
      </w:pPr>
    </w:p>
    <w:p w:rsidR="00000000" w:rsidRPr="002E6A31" w:rsidP="002E6A31">
      <w:pPr>
        <w:pStyle w:val="AllowPageBreak"/>
      </w:pPr>
    </w:p>
    <w:p w:rsidR="00000000" w:rsidRPr="002E6A31" w:rsidP="002E6A31">
      <w:pPr>
        <w:pStyle w:val="Heading1"/>
      </w:pPr>
      <w:bookmarkStart w:id="8" w:name="O_1066298"/>
      <w:bookmarkEnd w:id="8"/>
      <w:r w:rsidRPr="002E6A3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t>Range is restricted to essential operating conditions and any other variables essential to the work env</w:t>
            </w:r>
            <w:r w:rsidRPr="002E6A31">
              <w:t>ironment.</w:t>
            </w:r>
          </w:p>
          <w:p w:rsidR="00000000" w:rsidRPr="002E6A31" w:rsidP="002E6A31">
            <w:pPr>
              <w:pStyle w:val="BodyText"/>
            </w:pPr>
            <w:r w:rsidRPr="002E6A31">
              <w:t>Non-essential conditions may be found in the Companion Volume Implementation Guide.</w:t>
            </w:r>
          </w:p>
        </w:tc>
      </w:tr>
    </w:tbl>
    <w:p w:rsidR="00000000" w:rsidRPr="002E6A31" w:rsidP="002E6A31">
      <w:pPr>
        <w:pStyle w:val="NoPaddingFontSize1"/>
      </w:pPr>
    </w:p>
    <w:p w:rsidR="00000000" w:rsidRPr="002E6A31" w:rsidP="002E6A31">
      <w:pPr>
        <w:pStyle w:val="AllowPageBreak"/>
      </w:pPr>
    </w:p>
    <w:p w:rsidR="00000000" w:rsidRPr="002E6A31" w:rsidP="002E6A31">
      <w:pPr>
        <w:pStyle w:val="Heading1"/>
      </w:pPr>
      <w:bookmarkStart w:id="9" w:name="O_1066299"/>
      <w:bookmarkEnd w:id="9"/>
      <w:r w:rsidRPr="002E6A3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31" w:rsidP="002E6A31">
            <w:pPr>
              <w:pStyle w:val="BodyText"/>
            </w:pPr>
            <w:r w:rsidRPr="002E6A31">
              <w:t>This is a new unit. There is no equivalent unit.</w:t>
            </w:r>
          </w:p>
        </w:tc>
      </w:tr>
    </w:tbl>
    <w:p w:rsidR="00000000" w:rsidRPr="002E6A31" w:rsidP="002E6A31">
      <w:pPr>
        <w:pStyle w:val="NoPaddingFontSize1"/>
      </w:pPr>
    </w:p>
    <w:p w:rsidR="00000000" w:rsidRPr="002E6A31" w:rsidP="002E6A31">
      <w:pPr>
        <w:pStyle w:val="AllowPageBreak"/>
      </w:pPr>
    </w:p>
    <w:p w:rsidR="00000000" w:rsidRPr="002E6A31" w:rsidP="002E6A31">
      <w:pPr>
        <w:pStyle w:val="Heading1"/>
      </w:pPr>
      <w:bookmarkStart w:id="10" w:name="O_1066306"/>
      <w:bookmarkEnd w:id="10"/>
      <w:r w:rsidRPr="002E6A31">
        <w:t>Links</w:t>
      </w:r>
    </w:p>
    <w:p w:rsidR="00000000" w:rsidRPr="002E6A31" w:rsidP="00DC6DEC">
      <w:pPr>
        <w:pStyle w:val="BodyText"/>
      </w:pPr>
      <w:r w:rsidRPr="002E6A31">
        <w:t>Companion Volume Implementation Guides a</w:t>
      </w:r>
      <w:r w:rsidRPr="002E6A31">
        <w:t xml:space="preserve">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72F5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E6A31" w:rsidP="002E6A31"/>
    <w:sectPr w:rsidSect="002E6A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31" w:rsidRPr="00DC6DEC" w:rsidP="00DC6D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DEC" w:rsidP="002E6A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6DEC" w:rsidP="002E6A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C6DEC" w:rsidP="002E6A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D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A31" w:rsidRPr="00DC6DEC" w:rsidP="00DC6D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DEC" w:rsidRPr="002D2AF8" w:rsidP="002E6A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TLIX0011X Establish blockchain in supply chains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C6DEC" w:rsidP="002E6A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A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A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A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A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A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A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A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A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A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A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A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A31"/>
  </w:style>
  <w:style w:type="character" w:customStyle="1" w:styleId="Heading1Char">
    <w:name w:val="Heading 1 Char"/>
    <w:basedOn w:val="DefaultParagraphFont"/>
    <w:link w:val="Heading1"/>
    <w:rsid w:val="002E6A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A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A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E6A31"/>
    <w:rPr>
      <w:b/>
      <w:spacing w:val="0"/>
    </w:rPr>
  </w:style>
  <w:style w:type="paragraph" w:customStyle="1" w:styleId="SuperHeading">
    <w:name w:val="SuperHeading"/>
    <w:basedOn w:val="Normal"/>
    <w:rsid w:val="002E6A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A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6A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A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A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A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A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A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A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A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A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A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A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A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A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A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6A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6A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6A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6A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A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A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6A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6A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A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A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A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A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A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A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A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A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6A31"/>
    <w:rPr>
      <w:i/>
    </w:rPr>
  </w:style>
  <w:style w:type="paragraph" w:styleId="Caption">
    <w:name w:val="caption"/>
    <w:basedOn w:val="BodyText"/>
    <w:next w:val="Normal"/>
    <w:qFormat/>
    <w:rsid w:val="002E6A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A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A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A31"/>
  </w:style>
  <w:style w:type="paragraph" w:styleId="TableofFigures">
    <w:name w:val="table of figures"/>
    <w:basedOn w:val="Normal"/>
    <w:next w:val="Normal"/>
    <w:semiHidden/>
    <w:rsid w:val="002E6A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A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E6A31"/>
    <w:rPr>
      <w:rFonts w:ascii="Wingdings" w:hAnsi="Wingdings"/>
    </w:rPr>
  </w:style>
  <w:style w:type="paragraph" w:customStyle="1" w:styleId="TableHeading">
    <w:name w:val="Table Heading"/>
    <w:basedOn w:val="HeadingBase"/>
    <w:rsid w:val="002E6A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A31"/>
    <w:rPr>
      <w:color w:val="0033CC"/>
      <w:u w:val="none"/>
    </w:rPr>
  </w:style>
  <w:style w:type="paragraph" w:customStyle="1" w:styleId="BodyTextRight">
    <w:name w:val="Body Text Right"/>
    <w:basedOn w:val="BodyText"/>
    <w:rsid w:val="002E6A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A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A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A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A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A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A31"/>
    <w:rPr>
      <w:sz w:val="32"/>
    </w:rPr>
  </w:style>
  <w:style w:type="paragraph" w:customStyle="1" w:styleId="HeadingProcedure">
    <w:name w:val="Heading Procedure"/>
    <w:basedOn w:val="HeadingBase"/>
    <w:next w:val="Normal"/>
    <w:rsid w:val="002E6A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A31"/>
    <w:pPr>
      <w:spacing w:before="60" w:after="60"/>
    </w:pPr>
  </w:style>
  <w:style w:type="paragraph" w:styleId="ListContinue">
    <w:name w:val="List Continue"/>
    <w:basedOn w:val="List"/>
    <w:rsid w:val="002E6A31"/>
    <w:pPr>
      <w:ind w:firstLine="0"/>
    </w:pPr>
  </w:style>
  <w:style w:type="paragraph" w:customStyle="1" w:styleId="ListNote">
    <w:name w:val="List Note"/>
    <w:basedOn w:val="List"/>
    <w:rsid w:val="002E6A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A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A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A31"/>
    <w:rPr>
      <w:rFonts w:ascii="Courier New" w:hAnsi="Courier New"/>
    </w:rPr>
  </w:style>
  <w:style w:type="paragraph" w:customStyle="1" w:styleId="NoteBullet">
    <w:name w:val="Note Bullet"/>
    <w:basedOn w:val="Note"/>
    <w:rsid w:val="002E6A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A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A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A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A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E6A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A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A31"/>
    <w:rPr>
      <w:b/>
      <w:smallCaps/>
    </w:rPr>
  </w:style>
  <w:style w:type="paragraph" w:customStyle="1" w:styleId="TableListNumber">
    <w:name w:val="Table List Number"/>
    <w:basedOn w:val="ListNumber"/>
    <w:rsid w:val="002E6A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A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A31"/>
    <w:pPr>
      <w:numPr>
        <w:numId w:val="7"/>
      </w:numPr>
    </w:pPr>
  </w:style>
  <w:style w:type="paragraph" w:customStyle="1" w:styleId="ListAlpha2">
    <w:name w:val="List Alpha 2"/>
    <w:basedOn w:val="List2"/>
    <w:rsid w:val="002E6A31"/>
    <w:pPr>
      <w:numPr>
        <w:numId w:val="6"/>
      </w:numPr>
    </w:pPr>
  </w:style>
  <w:style w:type="paragraph" w:styleId="List2">
    <w:name w:val="List 2"/>
    <w:basedOn w:val="BodyText"/>
    <w:rsid w:val="002E6A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A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A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A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A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A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E6A31"/>
    <w:pPr>
      <w:numPr>
        <w:numId w:val="2"/>
      </w:numPr>
    </w:pPr>
  </w:style>
  <w:style w:type="paragraph" w:styleId="ListContinue2">
    <w:name w:val="List Continue 2"/>
    <w:basedOn w:val="List2"/>
    <w:rsid w:val="002E6A31"/>
    <w:pPr>
      <w:ind w:firstLine="0"/>
    </w:pPr>
  </w:style>
  <w:style w:type="paragraph" w:styleId="ListContinue3">
    <w:name w:val="List Continue 3"/>
    <w:basedOn w:val="List3"/>
    <w:rsid w:val="002E6A31"/>
    <w:pPr>
      <w:ind w:left="1021" w:firstLine="0"/>
    </w:pPr>
  </w:style>
  <w:style w:type="paragraph" w:styleId="ListContinue4">
    <w:name w:val="List Continue 4"/>
    <w:basedOn w:val="List4"/>
    <w:rsid w:val="002E6A31"/>
    <w:pPr>
      <w:ind w:firstLine="0"/>
    </w:pPr>
  </w:style>
  <w:style w:type="paragraph" w:styleId="ListContinue5">
    <w:name w:val="List Continue 5"/>
    <w:basedOn w:val="List5"/>
    <w:rsid w:val="002E6A31"/>
    <w:pPr>
      <w:ind w:firstLine="0"/>
    </w:pPr>
  </w:style>
  <w:style w:type="paragraph" w:styleId="ListNumber3">
    <w:name w:val="List Number 3"/>
    <w:basedOn w:val="List3"/>
    <w:rsid w:val="002E6A31"/>
    <w:pPr>
      <w:numPr>
        <w:numId w:val="3"/>
      </w:numPr>
    </w:pPr>
  </w:style>
  <w:style w:type="paragraph" w:styleId="ListNumber4">
    <w:name w:val="List Number 4"/>
    <w:basedOn w:val="List4"/>
    <w:rsid w:val="002E6A31"/>
    <w:pPr>
      <w:numPr>
        <w:numId w:val="4"/>
      </w:numPr>
    </w:pPr>
  </w:style>
  <w:style w:type="paragraph" w:styleId="ListNumber5">
    <w:name w:val="List Number 5"/>
    <w:basedOn w:val="List5"/>
    <w:rsid w:val="002E6A31"/>
    <w:pPr>
      <w:numPr>
        <w:numId w:val="5"/>
      </w:numPr>
    </w:pPr>
  </w:style>
  <w:style w:type="paragraph" w:styleId="BlockText">
    <w:name w:val="Block Text"/>
    <w:basedOn w:val="Normal"/>
    <w:rsid w:val="002E6A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A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A31"/>
    <w:rPr>
      <w:sz w:val="16"/>
      <w:vertAlign w:val="superscript"/>
    </w:rPr>
  </w:style>
  <w:style w:type="character" w:customStyle="1" w:styleId="Symbols">
    <w:name w:val="Symbols"/>
    <w:basedOn w:val="DefaultParagraphFont"/>
    <w:rsid w:val="002E6A31"/>
    <w:rPr>
      <w:rFonts w:ascii="Symbol" w:hAnsi="Symbol"/>
    </w:rPr>
  </w:style>
  <w:style w:type="character" w:customStyle="1" w:styleId="MenuOptions">
    <w:name w:val="Menu Options"/>
    <w:basedOn w:val="DefaultParagraphFont"/>
    <w:rsid w:val="002E6A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A31"/>
    <w:rPr>
      <w:b/>
    </w:rPr>
  </w:style>
  <w:style w:type="character" w:customStyle="1" w:styleId="Underlined">
    <w:name w:val="Underlined"/>
    <w:basedOn w:val="DefaultParagraphFont"/>
    <w:rsid w:val="002E6A31"/>
    <w:rPr>
      <w:u w:val="single"/>
    </w:rPr>
  </w:style>
  <w:style w:type="paragraph" w:customStyle="1" w:styleId="TableBodyTextRight">
    <w:name w:val="Table Body Text Right"/>
    <w:basedOn w:val="TableBodyText"/>
    <w:rsid w:val="002E6A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A31"/>
    <w:rPr>
      <w:sz w:val="18"/>
    </w:rPr>
  </w:style>
  <w:style w:type="paragraph" w:customStyle="1" w:styleId="BodySmallRight">
    <w:name w:val="Body Small Right"/>
    <w:basedOn w:val="BodyTextRight"/>
    <w:rsid w:val="002E6A31"/>
    <w:rPr>
      <w:sz w:val="18"/>
      <w:szCs w:val="18"/>
    </w:rPr>
  </w:style>
  <w:style w:type="paragraph" w:customStyle="1" w:styleId="MarginEdition">
    <w:name w:val="Margin Edition"/>
    <w:basedOn w:val="MarginNote"/>
    <w:rsid w:val="002E6A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A31"/>
    <w:rPr>
      <w:sz w:val="2"/>
      <w:szCs w:val="2"/>
    </w:rPr>
  </w:style>
  <w:style w:type="character" w:customStyle="1" w:styleId="Small">
    <w:name w:val="Small"/>
    <w:basedOn w:val="DefaultParagraphFont"/>
    <w:rsid w:val="002E6A31"/>
    <w:rPr>
      <w:sz w:val="16"/>
    </w:rPr>
  </w:style>
  <w:style w:type="paragraph" w:customStyle="1" w:styleId="WideTable">
    <w:name w:val="Wide Table"/>
    <w:basedOn w:val="Normal"/>
    <w:rsid w:val="002E6A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A31"/>
  </w:style>
  <w:style w:type="paragraph" w:styleId="Quote">
    <w:name w:val="Quote"/>
    <w:basedOn w:val="Heading1"/>
    <w:link w:val="QuoteChar"/>
    <w:qFormat/>
    <w:rsid w:val="002E6A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A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A31"/>
    <w:pPr>
      <w:pageBreakBefore/>
    </w:pPr>
  </w:style>
  <w:style w:type="paragraph" w:customStyle="1" w:styleId="Border">
    <w:name w:val="Border"/>
    <w:basedOn w:val="Normal"/>
    <w:qFormat/>
    <w:rsid w:val="002E6A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A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A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A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A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A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A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A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A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A31"/>
    <w:rPr>
      <w:u w:val="single"/>
    </w:rPr>
  </w:style>
  <w:style w:type="character" w:customStyle="1" w:styleId="BoldandItalics">
    <w:name w:val="Bold and Italics"/>
    <w:qFormat/>
    <w:rsid w:val="002E6A31"/>
    <w:rPr>
      <w:b/>
      <w:i/>
      <w:u w:val="none"/>
    </w:rPr>
  </w:style>
  <w:style w:type="paragraph" w:styleId="BalloonText">
    <w:name w:val="Balloon Text"/>
    <w:basedOn w:val="Normal"/>
    <w:link w:val="BalloonTextChar"/>
    <w:rsid w:val="002E6A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A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A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A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A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A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A31"/>
    <w:pPr>
      <w:spacing w:before="0" w:after="0"/>
    </w:pPr>
  </w:style>
  <w:style w:type="paragraph" w:customStyle="1" w:styleId="BodyTextBold">
    <w:name w:val="Body Text Bold"/>
    <w:basedOn w:val="BodyText"/>
    <w:qFormat/>
    <w:rsid w:val="002E6A31"/>
    <w:rPr>
      <w:b/>
    </w:rPr>
  </w:style>
  <w:style w:type="character" w:styleId="Hyperlink">
    <w:name w:val="Hyperlink"/>
    <w:basedOn w:val="DefaultParagraphFont"/>
    <w:uiPriority w:val="99"/>
    <w:unhideWhenUsed/>
    <w:rsid w:val="00DC6D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4170</Characters>
  <Application>Microsoft Office Word</Application>
  <DocSecurity>0</DocSecurity>
  <Lines>189</Lines>
  <Paragraphs>96</Paragraphs>
  <ScaleCrop>false</ScaleCrop>
  <Company>Author-it Software Corporation Ltd.</Company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TLIX0011X Establish blockchain in supply chains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2024-07-12T08:01:00Z</dcterms:created>
  <dcterms:modified xsi:type="dcterms:W3CDTF">2024-07-12T08:01:00Z</dcterms:modified>
</cp:coreProperties>
</file>