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6780" w:rsidP="00726780">
      <w:pPr>
        <w:pStyle w:val="Title"/>
      </w:pPr>
      <w:r>
        <w:fldChar w:fldCharType="begin"/>
      </w:r>
      <w:r>
        <w:instrText xml:space="preserve"> TITLE   \* MERGEFORMAT </w:instrText>
      </w:r>
      <w:r>
        <w:fldChar w:fldCharType="separate"/>
      </w:r>
      <w:r>
        <w:t>TLIX0010X Enable traceability in supply chains</w:t>
      </w:r>
      <w:r>
        <w:fldChar w:fldCharType="end"/>
      </w:r>
    </w:p>
    <w:p w:rsidR="00726780" w:rsidP="00726780">
      <w:pPr>
        <w:pStyle w:val="Version"/>
        <w:sectPr w:rsidSect="00BB70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70EC" w:rsidP="00BB70EC">
      <w:pPr>
        <w:pStyle w:val="SuperHeading"/>
      </w:pPr>
      <w:r w:rsidRPr="00BB70EC">
        <w:t>TLIX0010X Enable traceability in supply chains</w:t>
      </w:r>
    </w:p>
    <w:p w:rsidR="00000000" w:rsidRPr="00BB70EC" w:rsidP="00BB70EC">
      <w:pPr>
        <w:pStyle w:val="Heading1"/>
      </w:pPr>
      <w:bookmarkStart w:id="1" w:name="O_1066272"/>
      <w:bookmarkEnd w:id="1"/>
      <w:r w:rsidRPr="00BB70EC">
        <w:t>Modification History</w:t>
      </w:r>
    </w:p>
    <w:tbl>
      <w:tblPr>
        <w:tblW w:w="9497" w:type="dxa"/>
        <w:tblLayout w:type="fixed"/>
        <w:tblCellMar>
          <w:left w:w="62" w:type="dxa"/>
          <w:right w:w="62" w:type="dxa"/>
        </w:tblCellMar>
        <w:tblLook w:val="0000"/>
      </w:tblPr>
      <w:tblGrid>
        <w:gridCol w:w="9497"/>
      </w:tblGrid>
      <w:tr w:rsidTr="00BB70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0EC" w:rsidP="00BB70EC">
            <w:pPr>
              <w:pStyle w:val="BodyText"/>
            </w:pPr>
            <w:r w:rsidRPr="00BB70EC">
              <w:rPr>
                <w:rStyle w:val="SpecialBold"/>
              </w:rPr>
              <w:t>Release 1.</w:t>
            </w:r>
            <w:r w:rsidRPr="00BB70EC">
              <w:t xml:space="preserve"> This is the first release of this unit of competency in the TLI Transport and Logistics Training Package.</w:t>
            </w:r>
          </w:p>
        </w:tc>
      </w:tr>
    </w:tbl>
    <w:p w:rsidR="00000000" w:rsidRPr="00BB70EC" w:rsidP="00BB70EC">
      <w:pPr>
        <w:pStyle w:val="NoPaddingFontSize1"/>
      </w:pPr>
    </w:p>
    <w:p w:rsidR="00000000" w:rsidRPr="00BB70EC" w:rsidP="00BB70EC">
      <w:pPr>
        <w:pStyle w:val="AllowPageBreak"/>
      </w:pPr>
    </w:p>
    <w:p w:rsidR="00000000" w:rsidRPr="00BB70EC" w:rsidP="00BB70EC">
      <w:pPr>
        <w:pStyle w:val="Heading1"/>
      </w:pPr>
      <w:bookmarkStart w:id="2" w:name="O_1066273"/>
      <w:bookmarkEnd w:id="2"/>
      <w:r w:rsidRPr="00BB70EC">
        <w:t>Application</w:t>
      </w:r>
    </w:p>
    <w:tbl>
      <w:tblPr>
        <w:tblW w:w="9497" w:type="dxa"/>
        <w:tblLayout w:type="fixed"/>
        <w:tblCellMar>
          <w:left w:w="62" w:type="dxa"/>
          <w:right w:w="62" w:type="dxa"/>
        </w:tblCellMar>
        <w:tblLook w:val="0000"/>
      </w:tblPr>
      <w:tblGrid>
        <w:gridCol w:w="9497"/>
      </w:tblGrid>
      <w:tr w:rsidTr="00BB70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0EC" w:rsidP="00BB70EC">
            <w:pPr>
              <w:pStyle w:val="BodyText"/>
            </w:pPr>
            <w:r w:rsidRPr="00BB70EC">
              <w:t>This unit of competency describes the skills and knowledge required to enabl</w:t>
            </w:r>
            <w:r w:rsidRPr="00BB70EC">
              <w:t>e traceability of products and services in supply chains. It includes identifying supply chain traceability, implementing supply chain traceability, using traceability data, monitoring risks to supply chain traceability and reviewing and reporting on suppl</w:t>
            </w:r>
            <w:r w:rsidRPr="00BB70EC">
              <w:t>y chain traceability.</w:t>
            </w:r>
          </w:p>
          <w:p w:rsidR="00000000" w:rsidRPr="00BB70EC" w:rsidP="00BB70EC">
            <w:pPr>
              <w:pStyle w:val="BodyText"/>
            </w:pPr>
            <w:r w:rsidRPr="00BB70EC">
              <w:t>Traceability is a collaborative effort that allows for the provenance of produce, products, parts and materials from suppliers as they are processed and distributed as end commodities to be confirmed. It also allows for the reliabilit</w:t>
            </w:r>
            <w:r w:rsidRPr="00BB70EC">
              <w:t>y of sustainability claims for human rights, the environment, workforce health and safety and anti-corruption practices to be verified. Traceability ensures that the collection and validation of data and the commitment to specified chain of custody standar</w:t>
            </w:r>
            <w:r w:rsidRPr="00BB70EC">
              <w:t xml:space="preserve">ds is maintained throughout the supply chain. </w:t>
            </w:r>
          </w:p>
          <w:p w:rsidR="00000000" w:rsidRPr="00BB70EC" w:rsidP="00BB70EC">
            <w:pPr>
              <w:pStyle w:val="BodyText"/>
            </w:pPr>
            <w:r w:rsidRPr="00BB70EC">
              <w:t>The unit is applicable to those with management or team leadership responsibilities within a supply chain.</w:t>
            </w:r>
          </w:p>
          <w:p w:rsidR="00000000" w:rsidRPr="00BB70EC" w:rsidP="00BB70EC">
            <w:pPr>
              <w:pStyle w:val="BodyText"/>
            </w:pPr>
            <w:r w:rsidRPr="00BB70EC">
              <w:t>No licensing, legislative or certification requirements apply to this unit at the time of publication.</w:t>
            </w:r>
          </w:p>
        </w:tc>
      </w:tr>
    </w:tbl>
    <w:p w:rsidR="00000000" w:rsidRPr="00BB70EC" w:rsidP="00BB70EC">
      <w:pPr>
        <w:pStyle w:val="NoPaddingFontSize1"/>
      </w:pPr>
    </w:p>
    <w:p w:rsidR="00000000" w:rsidRPr="00BB70EC" w:rsidP="00BB70EC">
      <w:pPr>
        <w:pStyle w:val="AllowPageBreak"/>
      </w:pPr>
    </w:p>
    <w:p w:rsidR="00000000" w:rsidRPr="00BB70EC" w:rsidP="00BB70EC">
      <w:pPr>
        <w:pStyle w:val="Heading1"/>
      </w:pPr>
      <w:bookmarkStart w:id="3" w:name="O_1066274"/>
      <w:bookmarkEnd w:id="3"/>
      <w:r w:rsidRPr="00BB70EC">
        <w:t>Pre-requisite Unit</w:t>
      </w:r>
    </w:p>
    <w:tbl>
      <w:tblPr>
        <w:tblW w:w="9497" w:type="dxa"/>
        <w:tblLayout w:type="fixed"/>
        <w:tblCellMar>
          <w:left w:w="62" w:type="dxa"/>
          <w:right w:w="62" w:type="dxa"/>
        </w:tblCellMar>
        <w:tblLook w:val="0000"/>
      </w:tblPr>
      <w:tblGrid>
        <w:gridCol w:w="9497"/>
      </w:tblGrid>
      <w:tr w:rsidTr="00BB70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0EC" w:rsidP="00BB70EC">
            <w:pPr>
              <w:pStyle w:val="BodyText"/>
            </w:pPr>
            <w:r w:rsidRPr="00BB70EC">
              <w:t>Not applicable</w:t>
            </w:r>
          </w:p>
        </w:tc>
      </w:tr>
    </w:tbl>
    <w:p w:rsidR="00000000" w:rsidRPr="00BB70EC" w:rsidP="00BB70EC">
      <w:pPr>
        <w:pStyle w:val="NoPaddingFontSize1"/>
      </w:pPr>
    </w:p>
    <w:p w:rsidR="00000000" w:rsidRPr="00BB70EC" w:rsidP="00BB70EC">
      <w:pPr>
        <w:pStyle w:val="AllowPageBreak"/>
      </w:pPr>
    </w:p>
    <w:p w:rsidR="00000000" w:rsidRPr="00BB70EC" w:rsidP="00BB70EC">
      <w:pPr>
        <w:pStyle w:val="Heading1"/>
      </w:pPr>
      <w:bookmarkStart w:id="4" w:name="O_1066275"/>
      <w:bookmarkEnd w:id="4"/>
      <w:r w:rsidRPr="00BB70EC">
        <w:t>Competency Field</w:t>
      </w:r>
    </w:p>
    <w:tbl>
      <w:tblPr>
        <w:tblW w:w="9497" w:type="dxa"/>
        <w:tblLayout w:type="fixed"/>
        <w:tblCellMar>
          <w:left w:w="62" w:type="dxa"/>
          <w:right w:w="62" w:type="dxa"/>
        </w:tblCellMar>
        <w:tblLook w:val="0000"/>
      </w:tblPr>
      <w:tblGrid>
        <w:gridCol w:w="9497"/>
      </w:tblGrid>
      <w:tr w:rsidTr="00BB70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0EC" w:rsidP="00BB70EC">
            <w:pPr>
              <w:pStyle w:val="BodyText"/>
            </w:pPr>
            <w:r w:rsidRPr="00BB70EC">
              <w:t>X - Logistics</w:t>
            </w:r>
          </w:p>
        </w:tc>
      </w:tr>
    </w:tbl>
    <w:p w:rsidR="00000000" w:rsidRPr="00BB70EC" w:rsidP="00BB70EC">
      <w:pPr>
        <w:pStyle w:val="NoPaddingFontSize1"/>
      </w:pPr>
    </w:p>
    <w:p w:rsidR="00000000" w:rsidRPr="00BB70EC" w:rsidP="00BB70EC">
      <w:pPr>
        <w:pStyle w:val="AllowPageBreak"/>
      </w:pPr>
    </w:p>
    <w:p w:rsidR="00000000" w:rsidRPr="00BB70EC" w:rsidP="00BB70EC">
      <w:pPr>
        <w:pStyle w:val="Heading1"/>
      </w:pPr>
      <w:bookmarkStart w:id="5" w:name="O_1066276"/>
      <w:bookmarkEnd w:id="5"/>
      <w:r w:rsidRPr="00BB70EC">
        <w:t>Unit Sector</w:t>
      </w:r>
    </w:p>
    <w:tbl>
      <w:tblPr>
        <w:tblW w:w="9497" w:type="dxa"/>
        <w:tblLayout w:type="fixed"/>
        <w:tblCellMar>
          <w:left w:w="62" w:type="dxa"/>
          <w:right w:w="62" w:type="dxa"/>
        </w:tblCellMar>
        <w:tblLook w:val="0000"/>
      </w:tblPr>
      <w:tblGrid>
        <w:gridCol w:w="9497"/>
      </w:tblGrid>
      <w:tr w:rsidTr="00BB70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0EC" w:rsidP="00BB70EC">
            <w:pPr>
              <w:pStyle w:val="BodyText"/>
            </w:pPr>
            <w:r w:rsidRPr="00BB70EC">
              <w:t>Cross sector</w:t>
            </w:r>
          </w:p>
        </w:tc>
      </w:tr>
    </w:tbl>
    <w:p w:rsidR="00000000" w:rsidRPr="00BB70EC" w:rsidP="00BB70EC">
      <w:pPr>
        <w:pStyle w:val="NoPaddingFontSize1"/>
      </w:pPr>
    </w:p>
    <w:p w:rsidR="00000000" w:rsidRPr="00BB70EC" w:rsidP="00BB70EC">
      <w:pPr>
        <w:pStyle w:val="AllowPageBreak"/>
      </w:pPr>
    </w:p>
    <w:p w:rsidR="00000000" w:rsidRPr="00BB70EC" w:rsidP="00BB70EC">
      <w:pPr>
        <w:pStyle w:val="Heading1"/>
      </w:pPr>
      <w:bookmarkStart w:id="6" w:name="O_1066277"/>
      <w:bookmarkEnd w:id="6"/>
      <w:r w:rsidRPr="00BB70EC">
        <w:t>Elements and Performance Criteria</w:t>
      </w:r>
    </w:p>
    <w:tbl>
      <w:tblPr>
        <w:tblW w:w="9497" w:type="dxa"/>
        <w:tblLayout w:type="fixed"/>
        <w:tblCellMar>
          <w:left w:w="62" w:type="dxa"/>
          <w:right w:w="62" w:type="dxa"/>
        </w:tblCellMar>
        <w:tblLook w:val="0000"/>
      </w:tblPr>
      <w:tblGrid>
        <w:gridCol w:w="3088"/>
        <w:gridCol w:w="120"/>
        <w:gridCol w:w="590"/>
        <w:gridCol w:w="5699"/>
      </w:tblGrid>
      <w:tr w:rsidTr="00BB70E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B70EC" w:rsidP="00BB70EC">
            <w:pPr>
              <w:pStyle w:val="BodyText"/>
            </w:pPr>
            <w:r w:rsidRPr="00BB70E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B70EC">
            <w:pPr>
              <w:pStyle w:val="BodyText"/>
              <w:rPr>
                <w:lang w:val="en-NZ"/>
              </w:rPr>
            </w:pPr>
            <w:r w:rsidRPr="00BB70EC">
              <w:rPr>
                <w:rStyle w:val="SpecialBold"/>
              </w:rPr>
              <w:t>PERFORMANCE CRITERIA</w:t>
            </w:r>
          </w:p>
        </w:tc>
      </w:tr>
      <w:tr w:rsidTr="00BB70E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B70EC">
            <w:pPr>
              <w:pStyle w:val="BodyText"/>
              <w:rPr>
                <w:lang w:val="en-NZ"/>
              </w:rPr>
            </w:pPr>
            <w:r w:rsidRPr="00BB70E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B70EC">
            <w:pPr>
              <w:pStyle w:val="BodyText"/>
              <w:rPr>
                <w:lang w:val="en-NZ"/>
              </w:rPr>
            </w:pPr>
            <w:r w:rsidRPr="00BB70EC">
              <w:t>Performance criteria describe the performance needed to demonstrate achievement of the element.</w:t>
            </w:r>
          </w:p>
        </w:tc>
      </w:tr>
      <w:tr w:rsidTr="00BB70EC">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BB70EC" w:rsidP="00BB70EC">
            <w:pPr>
              <w:pStyle w:val="BodyText"/>
            </w:pPr>
            <w:r w:rsidRPr="00BB70EC">
              <w:rPr>
                <w:rStyle w:val="SpecialBold"/>
              </w:rPr>
              <w:t>Identify supply chain</w:t>
            </w:r>
            <w:r w:rsidRPr="00BB70EC">
              <w:t xml:space="preserve"> </w:t>
            </w:r>
            <w:r w:rsidRPr="00BB70EC">
              <w:rPr>
                <w:rStyle w:val="SpecialBold"/>
              </w:rPr>
              <w:t>traceability</w:t>
            </w:r>
          </w:p>
        </w:tc>
        <w:tc>
          <w:tcPr>
            <w:tcW w:w="710" w:type="dxa"/>
            <w:gridSpan w:val="2"/>
            <w:tcBorders>
              <w:top w:val="nil"/>
              <w:left w:val="nil"/>
              <w:bottom w:val="nil"/>
              <w:right w:val="nil"/>
            </w:tcBorders>
            <w:tcMar>
              <w:top w:w="0" w:type="dxa"/>
              <w:left w:w="62" w:type="dxa"/>
              <w:bottom w:w="0" w:type="dxa"/>
              <w:right w:w="62" w:type="dxa"/>
            </w:tcMar>
          </w:tcPr>
          <w:p w:rsidR="00000000" w:rsidP="00BB70EC">
            <w:pPr>
              <w:pStyle w:val="BodyText"/>
              <w:rPr>
                <w:lang w:val="en-NZ"/>
              </w:rPr>
            </w:pPr>
            <w:r w:rsidRPr="00BB70EC">
              <w:rPr>
                <w:rStyle w:val="SpecialBold"/>
              </w:rPr>
              <w:t>1.1</w:t>
            </w:r>
          </w:p>
        </w:tc>
        <w:tc>
          <w:tcPr>
            <w:tcW w:w="5699" w:type="dxa"/>
            <w:tcBorders>
              <w:top w:val="nil"/>
              <w:left w:val="nil"/>
              <w:bottom w:val="nil"/>
              <w:right w:val="nil"/>
            </w:tcBorders>
            <w:tcMar>
              <w:top w:w="0" w:type="dxa"/>
              <w:left w:w="62" w:type="dxa"/>
              <w:bottom w:w="0" w:type="dxa"/>
              <w:right w:w="62" w:type="dxa"/>
            </w:tcMar>
          </w:tcPr>
          <w:p w:rsidR="00000000" w:rsidP="00BB70EC">
            <w:pPr>
              <w:pStyle w:val="BodyText"/>
              <w:rPr>
                <w:lang w:val="en-NZ"/>
              </w:rPr>
            </w:pPr>
            <w:r w:rsidRPr="00BB70EC">
              <w:t>Strategy for supply chain traceability, including Key Performance Indicators (KPIs), is confirmed</w:t>
            </w:r>
          </w:p>
        </w:tc>
      </w:tr>
      <w:tr w:rsidTr="00BB70EC">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BB70EC">
            <w:pPr>
              <w:pStyle w:val="BodyText"/>
              <w:keepLines w:val="0"/>
            </w:pPr>
          </w:p>
        </w:tc>
        <w:tc>
          <w:tcPr>
            <w:tcW w:w="710" w:type="dxa"/>
            <w:gridSpan w:val="2"/>
            <w:tcBorders>
              <w:top w:val="nil"/>
              <w:left w:val="nil"/>
              <w:bottom w:val="nil"/>
              <w:right w:val="nil"/>
            </w:tcBorders>
            <w:tcMar>
              <w:top w:w="0" w:type="dxa"/>
              <w:left w:w="62" w:type="dxa"/>
              <w:bottom w:w="0" w:type="dxa"/>
              <w:right w:w="62" w:type="dxa"/>
            </w:tcMar>
          </w:tcPr>
          <w:p w:rsidR="00000000" w:rsidP="00BB70EC">
            <w:pPr>
              <w:pStyle w:val="BodyText"/>
              <w:rPr>
                <w:lang w:val="en-NZ"/>
              </w:rPr>
            </w:pPr>
            <w:r w:rsidRPr="00BB70EC">
              <w:rPr>
                <w:rStyle w:val="SpecialBold"/>
              </w:rPr>
              <w:t>1.2</w:t>
            </w:r>
          </w:p>
        </w:tc>
        <w:tc>
          <w:tcPr>
            <w:tcW w:w="5699" w:type="dxa"/>
            <w:tcBorders>
              <w:top w:val="nil"/>
              <w:left w:val="nil"/>
              <w:bottom w:val="nil"/>
              <w:right w:val="nil"/>
            </w:tcBorders>
            <w:tcMar>
              <w:top w:w="0" w:type="dxa"/>
              <w:left w:w="62" w:type="dxa"/>
              <w:bottom w:w="0" w:type="dxa"/>
              <w:right w:w="62" w:type="dxa"/>
            </w:tcMar>
          </w:tcPr>
          <w:p w:rsidR="00000000" w:rsidP="00BB70EC">
            <w:pPr>
              <w:pStyle w:val="BodyText"/>
              <w:rPr>
                <w:lang w:val="en-NZ"/>
              </w:rPr>
            </w:pPr>
            <w:r w:rsidRPr="00BB70EC">
              <w:t>Product and service movements in the supply chain are identified, including any vulnerabilities</w:t>
            </w:r>
          </w:p>
        </w:tc>
      </w:tr>
      <w:tr w:rsidTr="00BB70EC">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BB70EC">
            <w:pPr>
              <w:pStyle w:val="BodyText"/>
              <w:keepLines w:val="0"/>
            </w:pPr>
          </w:p>
        </w:tc>
        <w:tc>
          <w:tcPr>
            <w:tcW w:w="710" w:type="dxa"/>
            <w:gridSpan w:val="2"/>
            <w:tcBorders>
              <w:top w:val="nil"/>
              <w:left w:val="nil"/>
              <w:bottom w:val="nil"/>
              <w:right w:val="nil"/>
            </w:tcBorders>
            <w:tcMar>
              <w:top w:w="0" w:type="dxa"/>
              <w:left w:w="62" w:type="dxa"/>
              <w:bottom w:w="0" w:type="dxa"/>
              <w:right w:w="62" w:type="dxa"/>
            </w:tcMar>
          </w:tcPr>
          <w:p w:rsidR="00000000" w:rsidP="00BB70EC">
            <w:pPr>
              <w:pStyle w:val="BodyText"/>
              <w:rPr>
                <w:lang w:val="en-NZ"/>
              </w:rPr>
            </w:pPr>
            <w:r w:rsidRPr="00BB70EC">
              <w:rPr>
                <w:rStyle w:val="SpecialBold"/>
              </w:rPr>
              <w:t>1.3</w:t>
            </w:r>
          </w:p>
        </w:tc>
        <w:tc>
          <w:tcPr>
            <w:tcW w:w="5699" w:type="dxa"/>
            <w:tcBorders>
              <w:top w:val="nil"/>
              <w:left w:val="nil"/>
              <w:bottom w:val="nil"/>
              <w:right w:val="nil"/>
            </w:tcBorders>
            <w:tcMar>
              <w:top w:w="0" w:type="dxa"/>
              <w:left w:w="62" w:type="dxa"/>
              <w:bottom w:w="0" w:type="dxa"/>
              <w:right w:w="62" w:type="dxa"/>
            </w:tcMar>
          </w:tcPr>
          <w:p w:rsidR="00000000" w:rsidP="00BB70EC">
            <w:pPr>
              <w:pStyle w:val="BodyText"/>
              <w:rPr>
                <w:lang w:val="en-NZ"/>
              </w:rPr>
            </w:pPr>
            <w:r w:rsidRPr="00BB70EC">
              <w:t>Legislative obligations, including chain of custody and chain of responsibility, are determined</w:t>
            </w:r>
          </w:p>
        </w:tc>
      </w:tr>
      <w:tr w:rsidTr="00BB70EC">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BB70EC">
            <w:pPr>
              <w:pStyle w:val="BodyText"/>
              <w:keepLines w:val="0"/>
            </w:pPr>
          </w:p>
        </w:tc>
        <w:tc>
          <w:tcPr>
            <w:tcW w:w="710" w:type="dxa"/>
            <w:gridSpan w:val="2"/>
            <w:tcBorders>
              <w:top w:val="nil"/>
              <w:left w:val="nil"/>
              <w:bottom w:val="nil"/>
              <w:right w:val="nil"/>
            </w:tcBorders>
            <w:tcMar>
              <w:top w:w="0" w:type="dxa"/>
              <w:left w:w="62" w:type="dxa"/>
              <w:bottom w:w="0" w:type="dxa"/>
              <w:right w:w="62" w:type="dxa"/>
            </w:tcMar>
          </w:tcPr>
          <w:p w:rsidR="00000000" w:rsidP="00BB70EC">
            <w:pPr>
              <w:pStyle w:val="BodyText"/>
              <w:rPr>
                <w:lang w:val="en-NZ"/>
              </w:rPr>
            </w:pPr>
            <w:r w:rsidRPr="00BB70EC">
              <w:rPr>
                <w:rStyle w:val="SpecialBold"/>
              </w:rPr>
              <w:t>1.4</w:t>
            </w:r>
          </w:p>
        </w:tc>
        <w:tc>
          <w:tcPr>
            <w:tcW w:w="5699" w:type="dxa"/>
            <w:tcBorders>
              <w:top w:val="nil"/>
              <w:left w:val="nil"/>
              <w:bottom w:val="nil"/>
              <w:right w:val="nil"/>
            </w:tcBorders>
            <w:tcMar>
              <w:top w:w="0" w:type="dxa"/>
              <w:left w:w="62" w:type="dxa"/>
              <w:bottom w:w="0" w:type="dxa"/>
              <w:right w:w="62" w:type="dxa"/>
            </w:tcMar>
          </w:tcPr>
          <w:p w:rsidR="00000000" w:rsidP="00BB70EC">
            <w:pPr>
              <w:pStyle w:val="BodyText"/>
              <w:rPr>
                <w:lang w:val="en-NZ"/>
              </w:rPr>
            </w:pPr>
            <w:r w:rsidRPr="00BB70EC">
              <w:t>Supply chain stakeholder</w:t>
            </w:r>
            <w:r>
              <w:t>’</w:t>
            </w:r>
            <w:r w:rsidRPr="00BB70EC">
              <w:t>s ability to undertake product and service traceability is verified</w:t>
            </w:r>
          </w:p>
        </w:tc>
      </w:tr>
      <w:tr w:rsidTr="00BB70EC">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BB70EC">
            <w:pPr>
              <w:pStyle w:val="BodyText"/>
              <w:keepLines w:val="0"/>
            </w:pPr>
          </w:p>
        </w:tc>
        <w:tc>
          <w:tcPr>
            <w:tcW w:w="710" w:type="dxa"/>
            <w:gridSpan w:val="2"/>
            <w:tcBorders>
              <w:top w:val="nil"/>
              <w:left w:val="nil"/>
              <w:bottom w:val="nil"/>
              <w:right w:val="nil"/>
            </w:tcBorders>
            <w:tcMar>
              <w:top w:w="0" w:type="dxa"/>
              <w:left w:w="62" w:type="dxa"/>
              <w:bottom w:w="0" w:type="dxa"/>
              <w:right w:w="62" w:type="dxa"/>
            </w:tcMar>
          </w:tcPr>
          <w:p w:rsidR="00000000" w:rsidP="00BB70EC">
            <w:pPr>
              <w:pStyle w:val="BodyText"/>
              <w:rPr>
                <w:lang w:val="en-NZ"/>
              </w:rPr>
            </w:pPr>
            <w:r w:rsidRPr="00BB70EC">
              <w:rPr>
                <w:rStyle w:val="SpecialBold"/>
              </w:rPr>
              <w:t>1.5</w:t>
            </w:r>
          </w:p>
        </w:tc>
        <w:tc>
          <w:tcPr>
            <w:tcW w:w="5699" w:type="dxa"/>
            <w:tcBorders>
              <w:top w:val="nil"/>
              <w:left w:val="nil"/>
              <w:bottom w:val="nil"/>
              <w:right w:val="nil"/>
            </w:tcBorders>
            <w:tcMar>
              <w:top w:w="0" w:type="dxa"/>
              <w:left w:w="62" w:type="dxa"/>
              <w:bottom w:w="0" w:type="dxa"/>
              <w:right w:w="62" w:type="dxa"/>
            </w:tcMar>
          </w:tcPr>
          <w:p w:rsidR="00000000" w:rsidP="00BB70EC">
            <w:pPr>
              <w:pStyle w:val="BodyText"/>
              <w:rPr>
                <w:lang w:val="en-NZ"/>
              </w:rPr>
            </w:pPr>
            <w:r w:rsidRPr="00BB70EC">
              <w:t>Responsibility and level of authority for supply chai</w:t>
            </w:r>
            <w:r w:rsidRPr="00BB70EC">
              <w:t>n traceability is confirmed</w:t>
            </w:r>
          </w:p>
        </w:tc>
      </w:tr>
      <w:tr w:rsidTr="00BB70EC">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BB70EC" w:rsidP="00BB70EC">
            <w:pPr>
              <w:pStyle w:val="BodyText"/>
            </w:pPr>
            <w:r w:rsidRPr="00BB70EC">
              <w:rPr>
                <w:rStyle w:val="SpecialBold"/>
              </w:rPr>
              <w:t>Implement supply chain traceability</w:t>
            </w:r>
          </w:p>
        </w:tc>
        <w:tc>
          <w:tcPr>
            <w:tcW w:w="710" w:type="dxa"/>
            <w:gridSpan w:val="2"/>
            <w:tcBorders>
              <w:top w:val="nil"/>
              <w:left w:val="nil"/>
              <w:bottom w:val="nil"/>
              <w:right w:val="nil"/>
            </w:tcBorders>
            <w:tcMar>
              <w:top w:w="0" w:type="dxa"/>
              <w:left w:w="62" w:type="dxa"/>
              <w:bottom w:w="0" w:type="dxa"/>
              <w:right w:w="62" w:type="dxa"/>
            </w:tcMar>
          </w:tcPr>
          <w:p w:rsidR="00000000" w:rsidP="00BB70EC">
            <w:pPr>
              <w:pStyle w:val="BodyText"/>
              <w:rPr>
                <w:lang w:val="en-NZ"/>
              </w:rPr>
            </w:pPr>
            <w:r w:rsidRPr="00BB70EC">
              <w:rPr>
                <w:rStyle w:val="SpecialBold"/>
              </w:rPr>
              <w:t>2.1</w:t>
            </w:r>
          </w:p>
        </w:tc>
        <w:tc>
          <w:tcPr>
            <w:tcW w:w="5699" w:type="dxa"/>
            <w:tcBorders>
              <w:top w:val="nil"/>
              <w:left w:val="nil"/>
              <w:bottom w:val="nil"/>
              <w:right w:val="nil"/>
            </w:tcBorders>
            <w:tcMar>
              <w:top w:w="0" w:type="dxa"/>
              <w:left w:w="62" w:type="dxa"/>
              <w:bottom w:w="0" w:type="dxa"/>
              <w:right w:w="62" w:type="dxa"/>
            </w:tcMar>
          </w:tcPr>
          <w:p w:rsidR="00000000" w:rsidP="00BB70EC">
            <w:pPr>
              <w:pStyle w:val="BodyText"/>
              <w:rPr>
                <w:lang w:val="en-NZ"/>
              </w:rPr>
            </w:pPr>
            <w:r w:rsidRPr="00BB70EC">
              <w:t>Traceability strategy with KPIs is implemented, in consultation with supply chain stakeholders</w:t>
            </w:r>
          </w:p>
        </w:tc>
      </w:tr>
      <w:tr w:rsidTr="00BB70EC">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BB70EC">
            <w:pPr>
              <w:pStyle w:val="BodyText"/>
              <w:keepLines w:val="0"/>
            </w:pPr>
          </w:p>
        </w:tc>
        <w:tc>
          <w:tcPr>
            <w:tcW w:w="710" w:type="dxa"/>
            <w:gridSpan w:val="2"/>
            <w:tcBorders>
              <w:top w:val="nil"/>
              <w:left w:val="nil"/>
              <w:bottom w:val="nil"/>
              <w:right w:val="nil"/>
            </w:tcBorders>
            <w:tcMar>
              <w:top w:w="0" w:type="dxa"/>
              <w:left w:w="62" w:type="dxa"/>
              <w:bottom w:w="0" w:type="dxa"/>
              <w:right w:w="62" w:type="dxa"/>
            </w:tcMar>
          </w:tcPr>
          <w:p w:rsidR="00000000" w:rsidP="00BB70EC">
            <w:pPr>
              <w:pStyle w:val="BodyText"/>
              <w:rPr>
                <w:lang w:val="en-NZ"/>
              </w:rPr>
            </w:pPr>
            <w:r w:rsidRPr="00BB70EC">
              <w:rPr>
                <w:rStyle w:val="SpecialBold"/>
              </w:rPr>
              <w:t>2.2</w:t>
            </w:r>
          </w:p>
        </w:tc>
        <w:tc>
          <w:tcPr>
            <w:tcW w:w="5699" w:type="dxa"/>
            <w:tcBorders>
              <w:top w:val="nil"/>
              <w:left w:val="nil"/>
              <w:bottom w:val="nil"/>
              <w:right w:val="nil"/>
            </w:tcBorders>
            <w:tcMar>
              <w:top w:w="0" w:type="dxa"/>
              <w:left w:w="62" w:type="dxa"/>
              <w:bottom w:w="0" w:type="dxa"/>
              <w:right w:w="62" w:type="dxa"/>
            </w:tcMar>
          </w:tcPr>
          <w:p w:rsidR="00000000" w:rsidP="00BB70EC">
            <w:pPr>
              <w:pStyle w:val="BodyText"/>
              <w:rPr>
                <w:lang w:val="en-NZ"/>
              </w:rPr>
            </w:pPr>
            <w:r w:rsidRPr="00BB70EC">
              <w:t>Traceability strategy, KPIs and scheduled timelines are communicated to supply chain stakeholders</w:t>
            </w:r>
          </w:p>
        </w:tc>
      </w:tr>
      <w:tr w:rsidTr="00BB70EC">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BB70EC">
            <w:pPr>
              <w:pStyle w:val="BodyText"/>
              <w:keepLines w:val="0"/>
            </w:pPr>
          </w:p>
        </w:tc>
        <w:tc>
          <w:tcPr>
            <w:tcW w:w="710" w:type="dxa"/>
            <w:gridSpan w:val="2"/>
            <w:tcBorders>
              <w:top w:val="nil"/>
              <w:left w:val="nil"/>
              <w:bottom w:val="nil"/>
              <w:right w:val="nil"/>
            </w:tcBorders>
            <w:tcMar>
              <w:top w:w="0" w:type="dxa"/>
              <w:left w:w="62" w:type="dxa"/>
              <w:bottom w:w="0" w:type="dxa"/>
              <w:right w:w="62" w:type="dxa"/>
            </w:tcMar>
          </w:tcPr>
          <w:p w:rsidR="00000000" w:rsidP="00BB70EC">
            <w:pPr>
              <w:pStyle w:val="BodyText"/>
              <w:rPr>
                <w:lang w:val="en-NZ"/>
              </w:rPr>
            </w:pPr>
            <w:r w:rsidRPr="00BB70EC">
              <w:rPr>
                <w:rStyle w:val="SpecialBold"/>
              </w:rPr>
              <w:t>2.3</w:t>
            </w:r>
          </w:p>
        </w:tc>
        <w:tc>
          <w:tcPr>
            <w:tcW w:w="5699" w:type="dxa"/>
            <w:tcBorders>
              <w:top w:val="nil"/>
              <w:left w:val="nil"/>
              <w:bottom w:val="nil"/>
              <w:right w:val="nil"/>
            </w:tcBorders>
            <w:tcMar>
              <w:top w:w="0" w:type="dxa"/>
              <w:left w:w="62" w:type="dxa"/>
              <w:bottom w:w="0" w:type="dxa"/>
              <w:right w:w="62" w:type="dxa"/>
            </w:tcMar>
          </w:tcPr>
          <w:p w:rsidR="00000000" w:rsidP="00BB70EC">
            <w:pPr>
              <w:pStyle w:val="BodyText"/>
              <w:rPr>
                <w:lang w:val="en-NZ"/>
              </w:rPr>
            </w:pPr>
            <w:r w:rsidRPr="00BB70EC">
              <w:t xml:space="preserve">Policies, procedures and processes are implemented to support supply chain traceability strategy  </w:t>
            </w:r>
          </w:p>
        </w:tc>
      </w:tr>
      <w:tr w:rsidTr="00BB70EC">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BB70EC">
            <w:pPr>
              <w:pStyle w:val="BodyText"/>
              <w:keepLines w:val="0"/>
            </w:pPr>
          </w:p>
        </w:tc>
        <w:tc>
          <w:tcPr>
            <w:tcW w:w="710" w:type="dxa"/>
            <w:gridSpan w:val="2"/>
            <w:tcBorders>
              <w:top w:val="nil"/>
              <w:left w:val="nil"/>
              <w:bottom w:val="nil"/>
              <w:right w:val="nil"/>
            </w:tcBorders>
            <w:tcMar>
              <w:top w:w="0" w:type="dxa"/>
              <w:left w:w="62" w:type="dxa"/>
              <w:bottom w:w="0" w:type="dxa"/>
              <w:right w:w="62" w:type="dxa"/>
            </w:tcMar>
          </w:tcPr>
          <w:p w:rsidR="00000000" w:rsidP="00BB70EC">
            <w:pPr>
              <w:pStyle w:val="BodyText"/>
              <w:rPr>
                <w:lang w:val="en-NZ"/>
              </w:rPr>
            </w:pPr>
            <w:r w:rsidRPr="00BB70EC">
              <w:rPr>
                <w:rStyle w:val="SpecialBold"/>
              </w:rPr>
              <w:t>2.4</w:t>
            </w:r>
          </w:p>
        </w:tc>
        <w:tc>
          <w:tcPr>
            <w:tcW w:w="5699" w:type="dxa"/>
            <w:tcBorders>
              <w:top w:val="nil"/>
              <w:left w:val="nil"/>
              <w:bottom w:val="nil"/>
              <w:right w:val="nil"/>
            </w:tcBorders>
            <w:tcMar>
              <w:top w:w="0" w:type="dxa"/>
              <w:left w:w="62" w:type="dxa"/>
              <w:bottom w:w="0" w:type="dxa"/>
              <w:right w:w="62" w:type="dxa"/>
            </w:tcMar>
          </w:tcPr>
          <w:p w:rsidR="00000000" w:rsidP="00BB70EC">
            <w:pPr>
              <w:pStyle w:val="BodyText"/>
              <w:rPr>
                <w:lang w:val="en-NZ"/>
              </w:rPr>
            </w:pPr>
            <w:r w:rsidRPr="00BB70EC">
              <w:t>Data collection and documentation protocols a</w:t>
            </w:r>
            <w:r w:rsidRPr="00BB70EC">
              <w:t xml:space="preserve">re implemented to support supply chain traceability processes </w:t>
            </w:r>
          </w:p>
        </w:tc>
      </w:tr>
      <w:tr w:rsidTr="00BB70EC">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BB70EC">
            <w:pPr>
              <w:pStyle w:val="BodyText"/>
              <w:keepLines w:val="0"/>
            </w:pPr>
          </w:p>
        </w:tc>
        <w:tc>
          <w:tcPr>
            <w:tcW w:w="710" w:type="dxa"/>
            <w:gridSpan w:val="2"/>
            <w:tcBorders>
              <w:top w:val="nil"/>
              <w:left w:val="nil"/>
              <w:bottom w:val="nil"/>
              <w:right w:val="nil"/>
            </w:tcBorders>
            <w:tcMar>
              <w:top w:w="0" w:type="dxa"/>
              <w:left w:w="62" w:type="dxa"/>
              <w:bottom w:w="0" w:type="dxa"/>
              <w:right w:w="62" w:type="dxa"/>
            </w:tcMar>
          </w:tcPr>
          <w:p w:rsidR="00000000" w:rsidP="00BB70EC">
            <w:pPr>
              <w:pStyle w:val="BodyText"/>
              <w:rPr>
                <w:lang w:val="en-NZ"/>
              </w:rPr>
            </w:pPr>
            <w:r w:rsidRPr="00BB70EC">
              <w:rPr>
                <w:rStyle w:val="SpecialBold"/>
              </w:rPr>
              <w:t>2.5</w:t>
            </w:r>
          </w:p>
        </w:tc>
        <w:tc>
          <w:tcPr>
            <w:tcW w:w="5699" w:type="dxa"/>
            <w:tcBorders>
              <w:top w:val="nil"/>
              <w:left w:val="nil"/>
              <w:bottom w:val="nil"/>
              <w:right w:val="nil"/>
            </w:tcBorders>
            <w:tcMar>
              <w:top w:w="0" w:type="dxa"/>
              <w:left w:w="62" w:type="dxa"/>
              <w:bottom w:w="0" w:type="dxa"/>
              <w:right w:w="62" w:type="dxa"/>
            </w:tcMar>
          </w:tcPr>
          <w:p w:rsidR="00000000" w:rsidP="00BB70EC">
            <w:pPr>
              <w:pStyle w:val="BodyText"/>
              <w:rPr>
                <w:lang w:val="en-NZ"/>
              </w:rPr>
            </w:pPr>
            <w:r w:rsidRPr="00BB70EC">
              <w:t xml:space="preserve">Legislative obligations, including chain of custody, are applied in the supply chain </w:t>
            </w:r>
          </w:p>
        </w:tc>
      </w:tr>
      <w:tr w:rsidTr="00BB70EC">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BB70EC" w:rsidP="00BB70EC">
            <w:pPr>
              <w:pStyle w:val="BodyText"/>
            </w:pPr>
            <w:r w:rsidRPr="00BB70EC">
              <w:rPr>
                <w:rStyle w:val="SpecialBold"/>
              </w:rPr>
              <w:t>Use supply chain</w:t>
            </w:r>
            <w:r w:rsidRPr="00BB70EC">
              <w:t xml:space="preserve"> </w:t>
            </w:r>
            <w:r w:rsidRPr="00BB70EC">
              <w:rPr>
                <w:rStyle w:val="SpecialBold"/>
              </w:rPr>
              <w:t>traceability data</w:t>
            </w:r>
          </w:p>
        </w:tc>
        <w:tc>
          <w:tcPr>
            <w:tcW w:w="710" w:type="dxa"/>
            <w:gridSpan w:val="2"/>
            <w:tcBorders>
              <w:top w:val="nil"/>
              <w:left w:val="nil"/>
              <w:bottom w:val="nil"/>
              <w:right w:val="nil"/>
            </w:tcBorders>
            <w:tcMar>
              <w:top w:w="0" w:type="dxa"/>
              <w:left w:w="62" w:type="dxa"/>
              <w:bottom w:w="0" w:type="dxa"/>
              <w:right w:w="62" w:type="dxa"/>
            </w:tcMar>
          </w:tcPr>
          <w:p w:rsidR="00000000" w:rsidRPr="00BB70EC" w:rsidP="00BB70EC">
            <w:pPr>
              <w:pStyle w:val="BodyText"/>
            </w:pPr>
            <w:r w:rsidRPr="00BB70EC">
              <w:rPr>
                <w:rStyle w:val="SpecialBold"/>
              </w:rPr>
              <w:t>3.1</w:t>
            </w:r>
          </w:p>
          <w:p w:rsidR="00000000">
            <w:pPr>
              <w:pStyle w:val="BodyText"/>
              <w:keepLines w:val="0"/>
              <w:rPr>
                <w:rFonts w:ascii="Tahoma" w:hAnsi="Tahoma"/>
                <w:sz w:val="20"/>
                <w:lang w:val="en-NZ"/>
              </w:rPr>
            </w:pPr>
          </w:p>
        </w:tc>
        <w:tc>
          <w:tcPr>
            <w:tcW w:w="5699" w:type="dxa"/>
            <w:tcBorders>
              <w:top w:val="nil"/>
              <w:left w:val="nil"/>
              <w:bottom w:val="nil"/>
              <w:right w:val="nil"/>
            </w:tcBorders>
            <w:tcMar>
              <w:top w:w="0" w:type="dxa"/>
              <w:left w:w="62" w:type="dxa"/>
              <w:bottom w:w="0" w:type="dxa"/>
              <w:right w:w="62" w:type="dxa"/>
            </w:tcMar>
          </w:tcPr>
          <w:p w:rsidR="00000000" w:rsidP="00BB70EC">
            <w:pPr>
              <w:pStyle w:val="BodyText"/>
              <w:rPr>
                <w:lang w:val="en-NZ"/>
              </w:rPr>
            </w:pPr>
            <w:r w:rsidRPr="00BB70EC">
              <w:t xml:space="preserve">Product and service traceability data is used to identify supply chain performance issues and to remediate evolving situations </w:t>
            </w:r>
          </w:p>
        </w:tc>
      </w:tr>
      <w:tr w:rsidTr="00BB70EC">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BB70EC">
            <w:pPr>
              <w:pStyle w:val="BodyText"/>
              <w:keepLines w:val="0"/>
            </w:pPr>
          </w:p>
        </w:tc>
        <w:tc>
          <w:tcPr>
            <w:tcW w:w="710" w:type="dxa"/>
            <w:gridSpan w:val="2"/>
            <w:tcBorders>
              <w:top w:val="nil"/>
              <w:left w:val="nil"/>
              <w:bottom w:val="nil"/>
              <w:right w:val="nil"/>
            </w:tcBorders>
            <w:tcMar>
              <w:top w:w="0" w:type="dxa"/>
              <w:left w:w="62" w:type="dxa"/>
              <w:bottom w:w="0" w:type="dxa"/>
              <w:right w:w="62" w:type="dxa"/>
            </w:tcMar>
          </w:tcPr>
          <w:p w:rsidR="00000000" w:rsidP="00BB70EC">
            <w:pPr>
              <w:pStyle w:val="BodyText"/>
              <w:rPr>
                <w:lang w:val="en-NZ"/>
              </w:rPr>
            </w:pPr>
            <w:r w:rsidRPr="00BB70EC">
              <w:rPr>
                <w:rStyle w:val="SpecialBold"/>
              </w:rPr>
              <w:t>3.2</w:t>
            </w:r>
          </w:p>
        </w:tc>
        <w:tc>
          <w:tcPr>
            <w:tcW w:w="5699" w:type="dxa"/>
            <w:tcBorders>
              <w:top w:val="nil"/>
              <w:left w:val="nil"/>
              <w:bottom w:val="nil"/>
              <w:right w:val="nil"/>
            </w:tcBorders>
            <w:tcMar>
              <w:top w:w="0" w:type="dxa"/>
              <w:left w:w="62" w:type="dxa"/>
              <w:bottom w:w="0" w:type="dxa"/>
              <w:right w:w="62" w:type="dxa"/>
            </w:tcMar>
          </w:tcPr>
          <w:p w:rsidR="00000000" w:rsidP="00BB70EC">
            <w:pPr>
              <w:pStyle w:val="BodyText"/>
              <w:rPr>
                <w:lang w:val="en-NZ"/>
              </w:rPr>
            </w:pPr>
            <w:r w:rsidRPr="00BB70EC">
              <w:t>Inconsistencies in product and services data is identified and remediated to ensure integrity of supply chain traceabilit</w:t>
            </w:r>
            <w:r w:rsidRPr="00BB70EC">
              <w:t>y</w:t>
            </w:r>
          </w:p>
        </w:tc>
      </w:tr>
      <w:tr w:rsidTr="00BB70EC">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BB70EC">
            <w:pPr>
              <w:pStyle w:val="BodyText"/>
              <w:keepLines w:val="0"/>
            </w:pPr>
          </w:p>
        </w:tc>
        <w:tc>
          <w:tcPr>
            <w:tcW w:w="710" w:type="dxa"/>
            <w:gridSpan w:val="2"/>
            <w:tcBorders>
              <w:top w:val="nil"/>
              <w:left w:val="nil"/>
              <w:bottom w:val="nil"/>
              <w:right w:val="nil"/>
            </w:tcBorders>
            <w:tcMar>
              <w:top w:w="0" w:type="dxa"/>
              <w:left w:w="62" w:type="dxa"/>
              <w:bottom w:w="0" w:type="dxa"/>
              <w:right w:w="62" w:type="dxa"/>
            </w:tcMar>
          </w:tcPr>
          <w:p w:rsidR="00000000" w:rsidP="00BB70EC">
            <w:pPr>
              <w:pStyle w:val="BodyText"/>
              <w:rPr>
                <w:lang w:val="en-NZ"/>
              </w:rPr>
            </w:pPr>
            <w:r w:rsidRPr="00BB70EC">
              <w:rPr>
                <w:rStyle w:val="SpecialBold"/>
              </w:rPr>
              <w:t>3.3</w:t>
            </w:r>
          </w:p>
        </w:tc>
        <w:tc>
          <w:tcPr>
            <w:tcW w:w="5699" w:type="dxa"/>
            <w:tcBorders>
              <w:top w:val="nil"/>
              <w:left w:val="nil"/>
              <w:bottom w:val="nil"/>
              <w:right w:val="nil"/>
            </w:tcBorders>
            <w:tcMar>
              <w:top w:w="0" w:type="dxa"/>
              <w:left w:w="62" w:type="dxa"/>
              <w:bottom w:w="0" w:type="dxa"/>
              <w:right w:w="62" w:type="dxa"/>
            </w:tcMar>
          </w:tcPr>
          <w:p w:rsidR="00000000" w:rsidP="00BB70EC">
            <w:pPr>
              <w:pStyle w:val="BodyText"/>
              <w:rPr>
                <w:lang w:val="en-NZ"/>
              </w:rPr>
            </w:pPr>
            <w:r w:rsidRPr="00BB70EC">
              <w:t xml:space="preserve">Certifications and data on supply chain products and services are used to verify welfare and safety claims </w:t>
            </w:r>
          </w:p>
        </w:tc>
      </w:tr>
      <w:tr w:rsidTr="00BB70EC">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BB70EC" w:rsidP="00BB70EC">
            <w:pPr>
              <w:pStyle w:val="BodyText"/>
            </w:pPr>
            <w:r w:rsidRPr="00BB70EC">
              <w:rPr>
                <w:rStyle w:val="SpecialBold"/>
              </w:rPr>
              <w:t>Monitor risks to supply chain</w:t>
            </w:r>
            <w:r w:rsidRPr="00BB70EC">
              <w:t xml:space="preserve"> </w:t>
            </w:r>
            <w:r w:rsidRPr="00BB70EC">
              <w:rPr>
                <w:rStyle w:val="SpecialBold"/>
              </w:rPr>
              <w:t>traceability</w:t>
            </w:r>
            <w:r w:rsidRPr="00BB70EC">
              <w:t xml:space="preserve"> </w:t>
            </w:r>
            <w:r w:rsidRPr="00BB70EC">
              <w:rPr>
                <w:rStyle w:val="SpecialBold"/>
              </w:rPr>
              <w:t xml:space="preserve"> </w:t>
            </w:r>
          </w:p>
        </w:tc>
        <w:tc>
          <w:tcPr>
            <w:tcW w:w="710" w:type="dxa"/>
            <w:gridSpan w:val="2"/>
            <w:tcBorders>
              <w:top w:val="nil"/>
              <w:left w:val="nil"/>
              <w:bottom w:val="nil"/>
              <w:right w:val="nil"/>
            </w:tcBorders>
            <w:tcMar>
              <w:top w:w="0" w:type="dxa"/>
              <w:left w:w="62" w:type="dxa"/>
              <w:bottom w:w="0" w:type="dxa"/>
              <w:right w:w="62" w:type="dxa"/>
            </w:tcMar>
          </w:tcPr>
          <w:p w:rsidR="00000000" w:rsidP="00BB70EC">
            <w:pPr>
              <w:pStyle w:val="BodyText"/>
              <w:rPr>
                <w:lang w:val="en-NZ"/>
              </w:rPr>
            </w:pPr>
            <w:r w:rsidRPr="00BB70EC">
              <w:rPr>
                <w:rStyle w:val="SpecialBold"/>
              </w:rPr>
              <w:t>4.1</w:t>
            </w:r>
          </w:p>
        </w:tc>
        <w:tc>
          <w:tcPr>
            <w:tcW w:w="5699" w:type="dxa"/>
            <w:tcBorders>
              <w:top w:val="nil"/>
              <w:left w:val="nil"/>
              <w:bottom w:val="nil"/>
              <w:right w:val="nil"/>
            </w:tcBorders>
            <w:tcMar>
              <w:top w:w="0" w:type="dxa"/>
              <w:left w:w="62" w:type="dxa"/>
              <w:bottom w:w="0" w:type="dxa"/>
              <w:right w:w="62" w:type="dxa"/>
            </w:tcMar>
          </w:tcPr>
          <w:p w:rsidR="00000000" w:rsidP="00BB70EC">
            <w:pPr>
              <w:pStyle w:val="BodyText"/>
              <w:rPr>
                <w:lang w:val="en-NZ"/>
              </w:rPr>
            </w:pPr>
            <w:r w:rsidRPr="00BB70EC">
              <w:t>High and low risk points for product and service traceability in the supply chain are id</w:t>
            </w:r>
            <w:r w:rsidRPr="00BB70EC">
              <w:t xml:space="preserve">entified and monitored </w:t>
            </w:r>
          </w:p>
        </w:tc>
      </w:tr>
      <w:tr w:rsidTr="00BB70EC">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BB70EC">
            <w:pPr>
              <w:pStyle w:val="BodyText"/>
              <w:keepLines w:val="0"/>
            </w:pPr>
          </w:p>
        </w:tc>
        <w:tc>
          <w:tcPr>
            <w:tcW w:w="710" w:type="dxa"/>
            <w:gridSpan w:val="2"/>
            <w:tcBorders>
              <w:top w:val="nil"/>
              <w:left w:val="nil"/>
              <w:bottom w:val="nil"/>
              <w:right w:val="nil"/>
            </w:tcBorders>
            <w:tcMar>
              <w:top w:w="0" w:type="dxa"/>
              <w:left w:w="62" w:type="dxa"/>
              <w:bottom w:w="0" w:type="dxa"/>
              <w:right w:w="62" w:type="dxa"/>
            </w:tcMar>
          </w:tcPr>
          <w:p w:rsidR="00000000" w:rsidP="00BB70EC">
            <w:pPr>
              <w:pStyle w:val="BodyText"/>
              <w:rPr>
                <w:lang w:val="en-NZ"/>
              </w:rPr>
            </w:pPr>
            <w:r w:rsidRPr="00BB70EC">
              <w:rPr>
                <w:rStyle w:val="SpecialBold"/>
              </w:rPr>
              <w:t>4.2</w:t>
            </w:r>
          </w:p>
        </w:tc>
        <w:tc>
          <w:tcPr>
            <w:tcW w:w="5699" w:type="dxa"/>
            <w:tcBorders>
              <w:top w:val="nil"/>
              <w:left w:val="nil"/>
              <w:bottom w:val="nil"/>
              <w:right w:val="nil"/>
            </w:tcBorders>
            <w:tcMar>
              <w:top w:w="0" w:type="dxa"/>
              <w:left w:w="62" w:type="dxa"/>
              <w:bottom w:w="0" w:type="dxa"/>
              <w:right w:w="62" w:type="dxa"/>
            </w:tcMar>
          </w:tcPr>
          <w:p w:rsidR="00000000" w:rsidP="00BB70EC">
            <w:pPr>
              <w:pStyle w:val="BodyText"/>
              <w:rPr>
                <w:lang w:val="en-NZ"/>
              </w:rPr>
            </w:pPr>
            <w:r w:rsidRPr="00BB70EC">
              <w:t xml:space="preserve">Risk mitigation for traceability data system is monitored </w:t>
            </w:r>
          </w:p>
        </w:tc>
      </w:tr>
      <w:tr w:rsidTr="00BB70EC">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BB70EC">
            <w:pPr>
              <w:pStyle w:val="BodyText"/>
              <w:keepLines w:val="0"/>
            </w:pPr>
          </w:p>
        </w:tc>
        <w:tc>
          <w:tcPr>
            <w:tcW w:w="710" w:type="dxa"/>
            <w:gridSpan w:val="2"/>
            <w:tcBorders>
              <w:top w:val="nil"/>
              <w:left w:val="nil"/>
              <w:bottom w:val="nil"/>
              <w:right w:val="nil"/>
            </w:tcBorders>
            <w:tcMar>
              <w:top w:w="0" w:type="dxa"/>
              <w:left w:w="62" w:type="dxa"/>
              <w:bottom w:w="0" w:type="dxa"/>
              <w:right w:w="62" w:type="dxa"/>
            </w:tcMar>
          </w:tcPr>
          <w:p w:rsidR="00000000" w:rsidP="00BB70EC">
            <w:pPr>
              <w:pStyle w:val="BodyText"/>
              <w:rPr>
                <w:lang w:val="en-NZ"/>
              </w:rPr>
            </w:pPr>
            <w:r w:rsidRPr="00BB70EC">
              <w:rPr>
                <w:rStyle w:val="SpecialBold"/>
              </w:rPr>
              <w:t>4.3</w:t>
            </w:r>
          </w:p>
        </w:tc>
        <w:tc>
          <w:tcPr>
            <w:tcW w:w="5699" w:type="dxa"/>
            <w:tcBorders>
              <w:top w:val="nil"/>
              <w:left w:val="nil"/>
              <w:bottom w:val="nil"/>
              <w:right w:val="nil"/>
            </w:tcBorders>
            <w:tcMar>
              <w:top w:w="0" w:type="dxa"/>
              <w:left w:w="62" w:type="dxa"/>
              <w:bottom w:w="0" w:type="dxa"/>
              <w:right w:w="62" w:type="dxa"/>
            </w:tcMar>
          </w:tcPr>
          <w:p w:rsidR="00000000" w:rsidP="00BB70EC">
            <w:pPr>
              <w:pStyle w:val="BodyText"/>
              <w:rPr>
                <w:lang w:val="en-NZ"/>
              </w:rPr>
            </w:pPr>
            <w:r w:rsidRPr="00BB70EC">
              <w:t xml:space="preserve">Corrective actions and strategies, including product </w:t>
            </w:r>
            <w:r w:rsidRPr="00BB70EC">
              <w:t>recalls, are monitored</w:t>
            </w:r>
          </w:p>
        </w:tc>
      </w:tr>
      <w:tr w:rsidTr="00BB70EC">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BB70EC" w:rsidP="00BB70EC">
            <w:pPr>
              <w:pStyle w:val="BodyText"/>
            </w:pPr>
            <w:r w:rsidRPr="00BB70EC">
              <w:rPr>
                <w:rStyle w:val="SpecialBold"/>
              </w:rPr>
              <w:t>Review and report on supply chain</w:t>
            </w:r>
            <w:r w:rsidRPr="00BB70EC">
              <w:t xml:space="preserve"> </w:t>
            </w:r>
            <w:r w:rsidRPr="00BB70EC">
              <w:rPr>
                <w:rStyle w:val="SpecialBold"/>
              </w:rPr>
              <w:t>traceability</w:t>
            </w:r>
            <w:r w:rsidRPr="00BB70EC">
              <w:t xml:space="preserve"> </w:t>
            </w:r>
          </w:p>
        </w:tc>
        <w:tc>
          <w:tcPr>
            <w:tcW w:w="710" w:type="dxa"/>
            <w:gridSpan w:val="2"/>
            <w:tcBorders>
              <w:top w:val="nil"/>
              <w:left w:val="nil"/>
              <w:bottom w:val="nil"/>
              <w:right w:val="nil"/>
            </w:tcBorders>
            <w:tcMar>
              <w:top w:w="0" w:type="dxa"/>
              <w:left w:w="62" w:type="dxa"/>
              <w:bottom w:w="0" w:type="dxa"/>
              <w:right w:w="62" w:type="dxa"/>
            </w:tcMar>
          </w:tcPr>
          <w:p w:rsidR="00000000" w:rsidP="00BB70EC">
            <w:pPr>
              <w:pStyle w:val="BodyText"/>
              <w:rPr>
                <w:lang w:val="en-NZ"/>
              </w:rPr>
            </w:pPr>
            <w:r w:rsidRPr="00BB70EC">
              <w:rPr>
                <w:rStyle w:val="SpecialBold"/>
              </w:rPr>
              <w:t>5.1</w:t>
            </w:r>
          </w:p>
        </w:tc>
        <w:tc>
          <w:tcPr>
            <w:tcW w:w="5699" w:type="dxa"/>
            <w:tcBorders>
              <w:top w:val="nil"/>
              <w:left w:val="nil"/>
              <w:bottom w:val="nil"/>
              <w:right w:val="nil"/>
            </w:tcBorders>
            <w:tcMar>
              <w:top w:w="0" w:type="dxa"/>
              <w:left w:w="62" w:type="dxa"/>
              <w:bottom w:w="0" w:type="dxa"/>
              <w:right w:w="62" w:type="dxa"/>
            </w:tcMar>
          </w:tcPr>
          <w:p w:rsidR="00000000" w:rsidP="00BB70EC">
            <w:pPr>
              <w:pStyle w:val="BodyText"/>
              <w:rPr>
                <w:lang w:val="en-NZ"/>
              </w:rPr>
            </w:pPr>
            <w:r w:rsidRPr="00BB70EC">
              <w:t xml:space="preserve">Traceability strategy is reviewed, in consultation with supply chain stakeholders, to ensure KPIs are being met </w:t>
            </w:r>
          </w:p>
        </w:tc>
      </w:tr>
      <w:tr w:rsidTr="00BB70EC">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BB70EC">
            <w:pPr>
              <w:pStyle w:val="BodyText"/>
              <w:keepLines w:val="0"/>
            </w:pPr>
          </w:p>
        </w:tc>
        <w:tc>
          <w:tcPr>
            <w:tcW w:w="710" w:type="dxa"/>
            <w:gridSpan w:val="2"/>
            <w:tcBorders>
              <w:top w:val="nil"/>
              <w:left w:val="nil"/>
              <w:bottom w:val="nil"/>
              <w:right w:val="nil"/>
            </w:tcBorders>
            <w:tcMar>
              <w:top w:w="0" w:type="dxa"/>
              <w:left w:w="62" w:type="dxa"/>
              <w:bottom w:w="0" w:type="dxa"/>
              <w:right w:w="62" w:type="dxa"/>
            </w:tcMar>
          </w:tcPr>
          <w:p w:rsidR="00000000" w:rsidP="00BB70EC">
            <w:pPr>
              <w:pStyle w:val="BodyText"/>
              <w:rPr>
                <w:lang w:val="en-NZ"/>
              </w:rPr>
            </w:pPr>
            <w:r w:rsidRPr="00BB70EC">
              <w:rPr>
                <w:rStyle w:val="SpecialBold"/>
              </w:rPr>
              <w:t>5.2</w:t>
            </w:r>
          </w:p>
        </w:tc>
        <w:tc>
          <w:tcPr>
            <w:tcW w:w="5699" w:type="dxa"/>
            <w:tcBorders>
              <w:top w:val="nil"/>
              <w:left w:val="nil"/>
              <w:bottom w:val="nil"/>
              <w:right w:val="nil"/>
            </w:tcBorders>
            <w:tcMar>
              <w:top w:w="0" w:type="dxa"/>
              <w:left w:w="62" w:type="dxa"/>
              <w:bottom w:w="0" w:type="dxa"/>
              <w:right w:w="62" w:type="dxa"/>
            </w:tcMar>
          </w:tcPr>
          <w:p w:rsidR="00000000" w:rsidP="00BB70EC">
            <w:pPr>
              <w:pStyle w:val="BodyText"/>
              <w:rPr>
                <w:lang w:val="en-NZ"/>
              </w:rPr>
            </w:pPr>
            <w:r w:rsidRPr="00BB70EC">
              <w:t xml:space="preserve">Report on traceability outcomes is prepared and presented to approved supply chain stakeholders </w:t>
            </w:r>
          </w:p>
        </w:tc>
      </w:tr>
      <w:tr w:rsidTr="00BB70EC">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BB70EC">
            <w:pPr>
              <w:pStyle w:val="BodyText"/>
              <w:keepLines w:val="0"/>
            </w:pPr>
          </w:p>
        </w:tc>
        <w:tc>
          <w:tcPr>
            <w:tcW w:w="710" w:type="dxa"/>
            <w:gridSpan w:val="2"/>
            <w:tcBorders>
              <w:top w:val="nil"/>
              <w:left w:val="nil"/>
              <w:bottom w:val="nil"/>
              <w:right w:val="nil"/>
            </w:tcBorders>
            <w:tcMar>
              <w:top w:w="0" w:type="dxa"/>
              <w:left w:w="62" w:type="dxa"/>
              <w:bottom w:w="0" w:type="dxa"/>
              <w:right w:w="62" w:type="dxa"/>
            </w:tcMar>
          </w:tcPr>
          <w:p w:rsidR="00000000" w:rsidP="00BB70EC">
            <w:pPr>
              <w:pStyle w:val="BodyText"/>
              <w:rPr>
                <w:lang w:val="en-NZ"/>
              </w:rPr>
            </w:pPr>
            <w:r w:rsidRPr="00BB70EC">
              <w:rPr>
                <w:rStyle w:val="SpecialBold"/>
              </w:rPr>
              <w:t>5.3</w:t>
            </w:r>
          </w:p>
        </w:tc>
        <w:tc>
          <w:tcPr>
            <w:tcW w:w="5699" w:type="dxa"/>
            <w:tcBorders>
              <w:top w:val="nil"/>
              <w:left w:val="nil"/>
              <w:bottom w:val="nil"/>
              <w:right w:val="nil"/>
            </w:tcBorders>
            <w:tcMar>
              <w:top w:w="0" w:type="dxa"/>
              <w:left w:w="62" w:type="dxa"/>
              <w:bottom w:w="0" w:type="dxa"/>
              <w:right w:w="62" w:type="dxa"/>
            </w:tcMar>
          </w:tcPr>
          <w:p w:rsidR="00000000" w:rsidRPr="00BB70EC" w:rsidP="00BB70EC">
            <w:pPr>
              <w:pStyle w:val="BodyText"/>
            </w:pPr>
            <w:r w:rsidRPr="00BB70EC">
              <w:t>Continuous improvement actions t</w:t>
            </w:r>
            <w:r w:rsidRPr="00BB70EC">
              <w:t>o support supply chain traceability are documented</w:t>
            </w:r>
          </w:p>
        </w:tc>
      </w:tr>
    </w:tbl>
    <w:p w:rsidR="00000000" w:rsidRPr="00BB70EC" w:rsidP="00BB70EC">
      <w:pPr>
        <w:pStyle w:val="NoPaddingFontSize1"/>
      </w:pPr>
    </w:p>
    <w:p w:rsidR="00000000" w:rsidRPr="00BB70EC" w:rsidP="00BB70EC">
      <w:pPr>
        <w:pStyle w:val="AllowPageBreak"/>
      </w:pPr>
    </w:p>
    <w:p w:rsidR="00000000" w:rsidRPr="00BB70EC" w:rsidP="00BB70EC">
      <w:pPr>
        <w:pStyle w:val="Heading1"/>
      </w:pPr>
      <w:bookmarkStart w:id="7" w:name="O_1066278"/>
      <w:bookmarkEnd w:id="7"/>
      <w:r w:rsidRPr="00BB70EC">
        <w:t>Foundation Skills</w:t>
      </w:r>
    </w:p>
    <w:tbl>
      <w:tblPr>
        <w:tblW w:w="9497" w:type="dxa"/>
        <w:tblLayout w:type="fixed"/>
        <w:tblCellMar>
          <w:left w:w="62" w:type="dxa"/>
          <w:right w:w="62" w:type="dxa"/>
        </w:tblCellMar>
        <w:tblLook w:val="0000"/>
      </w:tblPr>
      <w:tblGrid>
        <w:gridCol w:w="9497"/>
      </w:tblGrid>
      <w:tr w:rsidTr="00BB70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0EC" w:rsidP="00BB70EC">
            <w:pPr>
              <w:pStyle w:val="BodyText"/>
            </w:pPr>
            <w:r w:rsidRPr="00BB70EC">
              <w:t>Foundation skills essential to performance are explicit in the performance criteria of this unit of competency.</w:t>
            </w:r>
          </w:p>
        </w:tc>
      </w:tr>
    </w:tbl>
    <w:p w:rsidR="00000000" w:rsidRPr="00BB70EC" w:rsidP="00BB70EC">
      <w:pPr>
        <w:pStyle w:val="NoPaddingFontSize1"/>
      </w:pPr>
    </w:p>
    <w:p w:rsidR="00000000" w:rsidRPr="00BB70EC" w:rsidP="00BB70EC">
      <w:pPr>
        <w:pStyle w:val="AllowPageBreak"/>
      </w:pPr>
    </w:p>
    <w:p w:rsidR="00000000" w:rsidRPr="00BB70EC" w:rsidP="00BB70EC">
      <w:pPr>
        <w:pStyle w:val="Heading1"/>
      </w:pPr>
      <w:bookmarkStart w:id="8" w:name="O_1066279"/>
      <w:bookmarkEnd w:id="8"/>
      <w:r w:rsidRPr="00BB70EC">
        <w:t>Range of Conditions</w:t>
      </w:r>
    </w:p>
    <w:tbl>
      <w:tblPr>
        <w:tblW w:w="9497" w:type="dxa"/>
        <w:tblLayout w:type="fixed"/>
        <w:tblCellMar>
          <w:left w:w="62" w:type="dxa"/>
          <w:right w:w="62" w:type="dxa"/>
        </w:tblCellMar>
        <w:tblLook w:val="0000"/>
      </w:tblPr>
      <w:tblGrid>
        <w:gridCol w:w="9497"/>
      </w:tblGrid>
      <w:tr w:rsidTr="00BB70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0EC" w:rsidP="00BB70EC">
            <w:pPr>
              <w:pStyle w:val="BodyText"/>
            </w:pPr>
            <w:r w:rsidRPr="00BB70EC">
              <w:t>Range is restricted to essential operating conditions and any other variables essential to the work environment.</w:t>
            </w:r>
          </w:p>
          <w:p w:rsidR="00000000" w:rsidRPr="00BB70EC" w:rsidP="00BB70EC">
            <w:pPr>
              <w:pStyle w:val="BodyText"/>
            </w:pPr>
            <w:r w:rsidRPr="00BB70EC">
              <w:t>Non-essential conditions may be found in the Companion Volume Implementation Guide.</w:t>
            </w:r>
          </w:p>
        </w:tc>
      </w:tr>
    </w:tbl>
    <w:p w:rsidR="00000000" w:rsidRPr="00BB70EC" w:rsidP="00BB70EC">
      <w:pPr>
        <w:pStyle w:val="NoPaddingFontSize1"/>
      </w:pPr>
    </w:p>
    <w:p w:rsidR="00000000" w:rsidRPr="00BB70EC" w:rsidP="00BB70EC">
      <w:pPr>
        <w:pStyle w:val="AllowPageBreak"/>
      </w:pPr>
    </w:p>
    <w:p w:rsidR="00000000" w:rsidRPr="00BB70EC" w:rsidP="00BB70EC">
      <w:pPr>
        <w:pStyle w:val="Heading1"/>
      </w:pPr>
      <w:bookmarkStart w:id="9" w:name="O_1066280"/>
      <w:bookmarkEnd w:id="9"/>
      <w:r w:rsidRPr="00BB70EC">
        <w:t>Unit Mapping Information</w:t>
      </w:r>
    </w:p>
    <w:tbl>
      <w:tblPr>
        <w:tblW w:w="9497" w:type="dxa"/>
        <w:tblLayout w:type="fixed"/>
        <w:tblCellMar>
          <w:left w:w="62" w:type="dxa"/>
          <w:right w:w="62" w:type="dxa"/>
        </w:tblCellMar>
        <w:tblLook w:val="0000"/>
      </w:tblPr>
      <w:tblGrid>
        <w:gridCol w:w="9497"/>
      </w:tblGrid>
      <w:tr w:rsidTr="00BB70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0EC" w:rsidP="00BB70EC">
            <w:pPr>
              <w:pStyle w:val="BodyText"/>
            </w:pPr>
            <w:r w:rsidRPr="00BB70EC">
              <w:t>This is a new</w:t>
            </w:r>
            <w:r w:rsidRPr="00BB70EC">
              <w:t xml:space="preserve"> unit. There is no equivalent unit.</w:t>
            </w:r>
          </w:p>
        </w:tc>
      </w:tr>
    </w:tbl>
    <w:p w:rsidR="00000000" w:rsidRPr="00BB70EC" w:rsidP="00BB70EC">
      <w:pPr>
        <w:pStyle w:val="NoPaddingFontSize1"/>
      </w:pPr>
    </w:p>
    <w:p w:rsidR="00000000" w:rsidRPr="00BB70EC" w:rsidP="00BB70EC">
      <w:pPr>
        <w:pStyle w:val="AllowPageBreak"/>
      </w:pPr>
    </w:p>
    <w:p w:rsidR="00000000" w:rsidRPr="00BB70EC" w:rsidP="00BB70EC">
      <w:pPr>
        <w:pStyle w:val="Heading1"/>
      </w:pPr>
      <w:bookmarkStart w:id="10" w:name="O_1066287"/>
      <w:bookmarkEnd w:id="10"/>
      <w:r w:rsidRPr="00BB70EC">
        <w:t>Links</w:t>
      </w:r>
    </w:p>
    <w:p w:rsidR="00000000" w:rsidRPr="00BB70EC" w:rsidP="00726780">
      <w:pPr>
        <w:pStyle w:val="BodyText"/>
      </w:pPr>
      <w:r w:rsidRPr="00BB70E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402BE">
        <w:rPr>
          <w:rStyle w:val="Hyperlink"/>
        </w:rPr>
        <w:t>https://vetnet.gov.au/Pages/TrainingDocs.aspx?q=df441c6e-213d-43e3-874c-0b3f7036d851</w:t>
      </w:r>
      <w:r>
        <w:fldChar w:fldCharType="end"/>
      </w:r>
    </w:p>
    <w:p w:rsidR="00000000" w:rsidRPr="00BB70EC" w:rsidP="00BB70EC"/>
    <w:sectPr w:rsidSect="00BB70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0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0EC" w:rsidRPr="00726780" w:rsidP="007267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0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780" w:rsidP="00BB70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6780" w:rsidP="00BB70E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726780" w:rsidP="00BB70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0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7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70EC" w:rsidRPr="00726780" w:rsidP="007267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0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780" w:rsidRPr="002D2AF8" w:rsidP="00BB70EC">
    <w:pPr>
      <w:pStyle w:val="Header"/>
      <w:framePr w:wrap="around"/>
    </w:pPr>
    <w:r>
      <w:fldChar w:fldCharType="begin"/>
    </w:r>
    <w:r>
      <w:instrText xml:space="preserve"> TITLE   \* MERGEFORMAT </w:instrText>
    </w:r>
    <w:r>
      <w:fldChar w:fldCharType="separate"/>
    </w:r>
    <w:r>
      <w:t>TLIX0010X Enable traceability in supply chains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726780" w:rsidP="00BB70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0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70EC"/>
    <w:pPr>
      <w:spacing w:before="360" w:after="60"/>
      <w:outlineLvl w:val="0"/>
    </w:pPr>
    <w:rPr>
      <w:sz w:val="32"/>
    </w:rPr>
  </w:style>
  <w:style w:type="paragraph" w:styleId="Heading2">
    <w:name w:val="heading 2"/>
    <w:basedOn w:val="HeadingBase"/>
    <w:next w:val="BodyText"/>
    <w:link w:val="Heading2Char"/>
    <w:qFormat/>
    <w:rsid w:val="00BB70EC"/>
    <w:pPr>
      <w:keepLines/>
      <w:spacing w:before="240" w:after="120"/>
      <w:outlineLvl w:val="1"/>
    </w:pPr>
    <w:rPr>
      <w:sz w:val="28"/>
      <w:szCs w:val="40"/>
    </w:rPr>
  </w:style>
  <w:style w:type="paragraph" w:styleId="Heading3">
    <w:name w:val="heading 3"/>
    <w:basedOn w:val="HeadingBase"/>
    <w:next w:val="BodyText"/>
    <w:link w:val="Heading3Char"/>
    <w:qFormat/>
    <w:rsid w:val="00BB70EC"/>
    <w:pPr>
      <w:spacing w:before="180" w:after="120"/>
      <w:outlineLvl w:val="2"/>
    </w:pPr>
    <w:rPr>
      <w:spacing w:val="-10"/>
      <w:kern w:val="32"/>
    </w:rPr>
  </w:style>
  <w:style w:type="paragraph" w:styleId="Heading4">
    <w:name w:val="heading 4"/>
    <w:basedOn w:val="HeadingBase"/>
    <w:next w:val="BodyText"/>
    <w:link w:val="Heading4Char"/>
    <w:qFormat/>
    <w:rsid w:val="00BB70EC"/>
    <w:pPr>
      <w:spacing w:before="160" w:after="120"/>
      <w:outlineLvl w:val="3"/>
    </w:pPr>
    <w:rPr>
      <w:sz w:val="22"/>
    </w:rPr>
  </w:style>
  <w:style w:type="paragraph" w:styleId="Heading5">
    <w:name w:val="heading 5"/>
    <w:basedOn w:val="HeadingBase"/>
    <w:next w:val="Normal"/>
    <w:link w:val="Heading5Char"/>
    <w:qFormat/>
    <w:rsid w:val="00BB70EC"/>
    <w:pPr>
      <w:spacing w:before="80"/>
      <w:outlineLvl w:val="4"/>
    </w:pPr>
    <w:rPr>
      <w:color w:val="918585"/>
      <w:sz w:val="20"/>
    </w:rPr>
  </w:style>
  <w:style w:type="paragraph" w:styleId="Heading6">
    <w:name w:val="heading 6"/>
    <w:basedOn w:val="HeadingBase"/>
    <w:next w:val="Normal"/>
    <w:link w:val="Heading6Char"/>
    <w:qFormat/>
    <w:rsid w:val="00BB70EC"/>
    <w:pPr>
      <w:spacing w:before="60"/>
      <w:outlineLvl w:val="5"/>
    </w:pPr>
    <w:rPr>
      <w:color w:val="918585"/>
      <w:sz w:val="20"/>
    </w:rPr>
  </w:style>
  <w:style w:type="paragraph" w:styleId="Heading7">
    <w:name w:val="heading 7"/>
    <w:basedOn w:val="Normal"/>
    <w:next w:val="Normal"/>
    <w:link w:val="Heading7Char"/>
    <w:qFormat/>
    <w:rsid w:val="00BB70EC"/>
    <w:pPr>
      <w:ind w:left="720"/>
      <w:outlineLvl w:val="6"/>
    </w:pPr>
    <w:rPr>
      <w:i/>
    </w:rPr>
  </w:style>
  <w:style w:type="paragraph" w:styleId="Heading8">
    <w:name w:val="heading 8"/>
    <w:basedOn w:val="Normal"/>
    <w:next w:val="Normal"/>
    <w:link w:val="Heading8Char"/>
    <w:qFormat/>
    <w:rsid w:val="00BB70EC"/>
    <w:pPr>
      <w:ind w:left="720"/>
      <w:outlineLvl w:val="7"/>
    </w:pPr>
    <w:rPr>
      <w:i/>
    </w:rPr>
  </w:style>
  <w:style w:type="paragraph" w:styleId="Heading9">
    <w:name w:val="heading 9"/>
    <w:basedOn w:val="Normal"/>
    <w:next w:val="Normal"/>
    <w:link w:val="Heading9Char"/>
    <w:qFormat/>
    <w:rsid w:val="00BB70EC"/>
    <w:pPr>
      <w:ind w:left="720"/>
      <w:outlineLvl w:val="8"/>
    </w:pPr>
    <w:rPr>
      <w:i/>
    </w:rPr>
  </w:style>
  <w:style w:type="character" w:default="1" w:styleId="DefaultParagraphFont">
    <w:name w:val="Default Paragraph Font"/>
    <w:uiPriority w:val="1"/>
    <w:unhideWhenUsed/>
    <w:rsid w:val="00BB70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70EC"/>
  </w:style>
  <w:style w:type="character" w:customStyle="1" w:styleId="Heading1Char">
    <w:name w:val="Heading 1 Char"/>
    <w:basedOn w:val="DefaultParagraphFont"/>
    <w:link w:val="Heading1"/>
    <w:rsid w:val="00BB70EC"/>
    <w:rPr>
      <w:rFonts w:ascii="Times New Roman" w:eastAsia="Times New Roman" w:hAnsi="Times New Roman" w:cs="Times New Roman"/>
      <w:b/>
      <w:sz w:val="32"/>
      <w:szCs w:val="20"/>
      <w:lang w:eastAsia="en-US"/>
    </w:rPr>
  </w:style>
  <w:style w:type="paragraph" w:styleId="BodyText">
    <w:name w:val="Body Text"/>
    <w:basedOn w:val="Normal"/>
    <w:link w:val="BodyTextChar"/>
    <w:rsid w:val="00BB70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70EC"/>
    <w:rPr>
      <w:rFonts w:ascii="Times New Roman" w:eastAsia="Times New Roman" w:hAnsi="Times New Roman" w:cs="Times New Roman"/>
      <w:sz w:val="24"/>
      <w:lang w:eastAsia="en-US"/>
    </w:rPr>
  </w:style>
  <w:style w:type="character" w:customStyle="1" w:styleId="SpecialBold">
    <w:name w:val="Special Bold"/>
    <w:basedOn w:val="DefaultParagraphFont"/>
    <w:rsid w:val="00BB70EC"/>
    <w:rPr>
      <w:b/>
      <w:spacing w:val="0"/>
    </w:rPr>
  </w:style>
  <w:style w:type="paragraph" w:customStyle="1" w:styleId="SuperHeading">
    <w:name w:val="SuperHeading"/>
    <w:basedOn w:val="Normal"/>
    <w:rsid w:val="00BB70EC"/>
    <w:pPr>
      <w:spacing w:before="240" w:after="120"/>
      <w:outlineLvl w:val="0"/>
    </w:pPr>
    <w:rPr>
      <w:rFonts w:ascii="Times New Roman" w:hAnsi="Times New Roman"/>
      <w:b/>
      <w:sz w:val="32"/>
    </w:rPr>
  </w:style>
  <w:style w:type="paragraph" w:customStyle="1" w:styleId="AllowPageBreak">
    <w:name w:val="AllowPageBreak"/>
    <w:rsid w:val="00BB70E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B70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70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70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70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70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70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70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70EC"/>
    <w:rPr>
      <w:rFonts w:ascii="Courier New" w:eastAsia="Times New Roman" w:hAnsi="Courier New" w:cs="Times New Roman"/>
      <w:i/>
      <w:szCs w:val="20"/>
      <w:lang w:eastAsia="en-US"/>
    </w:rPr>
  </w:style>
  <w:style w:type="paragraph" w:customStyle="1" w:styleId="HeadingBase">
    <w:name w:val="Heading Base"/>
    <w:rsid w:val="00BB70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70EC"/>
    <w:pPr>
      <w:tabs>
        <w:tab w:val="right" w:leader="dot" w:pos="9072"/>
      </w:tabs>
      <w:ind w:left="567"/>
    </w:pPr>
    <w:rPr>
      <w:szCs w:val="22"/>
    </w:rPr>
  </w:style>
  <w:style w:type="paragraph" w:customStyle="1" w:styleId="TOCBase">
    <w:name w:val="TOC Base"/>
    <w:rsid w:val="00BB70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70EC"/>
    <w:pPr>
      <w:tabs>
        <w:tab w:val="right" w:leader="dot" w:pos="9072"/>
      </w:tabs>
      <w:spacing w:before="40" w:after="40"/>
      <w:ind w:left="284"/>
    </w:pPr>
    <w:rPr>
      <w:rFonts w:ascii="Times New Roman" w:hAnsi="Times New Roman"/>
    </w:rPr>
  </w:style>
  <w:style w:type="paragraph" w:styleId="TOC1">
    <w:name w:val="toc 1"/>
    <w:basedOn w:val="TOCBase"/>
    <w:next w:val="Normal"/>
    <w:rsid w:val="00BB70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70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70EC"/>
    <w:rPr>
      <w:rFonts w:ascii="Times New Roman" w:eastAsia="Times New Roman" w:hAnsi="Times New Roman" w:cs="Times New Roman"/>
      <w:sz w:val="16"/>
      <w:lang w:eastAsia="en-US"/>
    </w:rPr>
  </w:style>
  <w:style w:type="paragraph" w:styleId="Title">
    <w:name w:val="Title"/>
    <w:basedOn w:val="HeadingBase"/>
    <w:link w:val="TitleChar"/>
    <w:qFormat/>
    <w:rsid w:val="00BB70EC"/>
    <w:pPr>
      <w:spacing w:before="5040"/>
      <w:jc w:val="center"/>
    </w:pPr>
    <w:rPr>
      <w:sz w:val="48"/>
      <w:szCs w:val="72"/>
      <w:lang w:val="en-US"/>
    </w:rPr>
  </w:style>
  <w:style w:type="character" w:customStyle="1" w:styleId="TitleChar">
    <w:name w:val="Title Char"/>
    <w:basedOn w:val="DefaultParagraphFont"/>
    <w:link w:val="Title"/>
    <w:rsid w:val="00BB70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70EC"/>
    <w:pPr>
      <w:tabs>
        <w:tab w:val="left" w:pos="3600"/>
        <w:tab w:val="left" w:pos="3958"/>
      </w:tabs>
    </w:pPr>
  </w:style>
  <w:style w:type="paragraph" w:styleId="List">
    <w:name w:val="List"/>
    <w:basedOn w:val="BodyText"/>
    <w:next w:val="BodyText"/>
    <w:rsid w:val="00BB70EC"/>
    <w:pPr>
      <w:tabs>
        <w:tab w:val="left" w:pos="340"/>
      </w:tabs>
      <w:spacing w:before="60" w:after="60"/>
      <w:ind w:left="340" w:hanging="340"/>
    </w:pPr>
  </w:style>
  <w:style w:type="paragraph" w:styleId="ListBullet">
    <w:name w:val="List Bullet"/>
    <w:basedOn w:val="List"/>
    <w:rsid w:val="00BB70EC"/>
    <w:pPr>
      <w:numPr>
        <w:numId w:val="10"/>
      </w:numPr>
      <w:tabs>
        <w:tab w:val="clear" w:pos="340"/>
      </w:tabs>
      <w:spacing w:before="40" w:after="40"/>
    </w:pPr>
  </w:style>
  <w:style w:type="paragraph" w:customStyle="1" w:styleId="Note">
    <w:name w:val="Note"/>
    <w:basedOn w:val="BodyText"/>
    <w:rsid w:val="00BB70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70EC"/>
    <w:pPr>
      <w:framePr w:wrap="auto" w:hAnchor="text" w:y="6049"/>
    </w:pPr>
    <w:rPr>
      <w:color w:val="000000"/>
      <w:sz w:val="40"/>
    </w:rPr>
  </w:style>
  <w:style w:type="paragraph" w:customStyle="1" w:styleId="TOCTitle">
    <w:name w:val="TOCTitle"/>
    <w:basedOn w:val="Heading1"/>
    <w:rsid w:val="00BB70EC"/>
    <w:pPr>
      <w:spacing w:after="240"/>
      <w:jc w:val="center"/>
      <w:outlineLvl w:val="9"/>
    </w:pPr>
    <w:rPr>
      <w:caps/>
    </w:rPr>
  </w:style>
  <w:style w:type="paragraph" w:customStyle="1" w:styleId="Version">
    <w:name w:val="Version"/>
    <w:rsid w:val="00BB70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70EC"/>
    <w:pPr>
      <w:numPr>
        <w:numId w:val="11"/>
      </w:numPr>
      <w:tabs>
        <w:tab w:val="clear" w:pos="680"/>
      </w:tabs>
    </w:pPr>
  </w:style>
  <w:style w:type="paragraph" w:styleId="Index1">
    <w:name w:val="index 1"/>
    <w:basedOn w:val="Normal"/>
    <w:next w:val="Normal"/>
    <w:semiHidden/>
    <w:rsid w:val="00BB70EC"/>
    <w:pPr>
      <w:keepNext w:val="0"/>
      <w:tabs>
        <w:tab w:val="right" w:pos="4176"/>
      </w:tabs>
      <w:ind w:left="198" w:hanging="198"/>
    </w:pPr>
    <w:rPr>
      <w:rFonts w:ascii="Garamond" w:hAnsi="Garamond"/>
    </w:rPr>
  </w:style>
  <w:style w:type="paragraph" w:styleId="IndexHeading">
    <w:name w:val="index heading"/>
    <w:basedOn w:val="Normal"/>
    <w:next w:val="Index1"/>
    <w:semiHidden/>
    <w:rsid w:val="00BB70EC"/>
    <w:pPr>
      <w:spacing w:before="120" w:after="120"/>
    </w:pPr>
    <w:rPr>
      <w:rFonts w:ascii="Arial" w:hAnsi="Arial"/>
      <w:b/>
      <w:color w:val="918585"/>
      <w:sz w:val="24"/>
    </w:rPr>
  </w:style>
  <w:style w:type="paragraph" w:styleId="Header">
    <w:name w:val="header"/>
    <w:basedOn w:val="Normal"/>
    <w:link w:val="HeaderChar"/>
    <w:rsid w:val="00BB70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70EC"/>
    <w:rPr>
      <w:rFonts w:ascii="Times New Roman" w:eastAsia="Times New Roman" w:hAnsi="Times New Roman" w:cs="Times New Roman"/>
      <w:sz w:val="16"/>
      <w:szCs w:val="20"/>
      <w:lang w:val="en-GB" w:eastAsia="en-US"/>
    </w:rPr>
  </w:style>
  <w:style w:type="paragraph" w:customStyle="1" w:styleId="Chapter">
    <w:name w:val="Chapter"/>
    <w:basedOn w:val="Normal"/>
    <w:rsid w:val="00BB70EC"/>
    <w:pPr>
      <w:spacing w:before="240"/>
    </w:pPr>
    <w:rPr>
      <w:rFonts w:ascii="Times New Roman" w:hAnsi="Times New Roman"/>
      <w:smallCaps/>
      <w:spacing w:val="80"/>
      <w:sz w:val="28"/>
    </w:rPr>
  </w:style>
  <w:style w:type="paragraph" w:customStyle="1" w:styleId="InChapter">
    <w:name w:val="InChapter"/>
    <w:basedOn w:val="Heading3"/>
    <w:rsid w:val="00BB70EC"/>
    <w:pPr>
      <w:spacing w:after="240"/>
      <w:outlineLvl w:val="9"/>
    </w:pPr>
    <w:rPr>
      <w:noProof/>
    </w:rPr>
  </w:style>
  <w:style w:type="paragraph" w:styleId="Index2">
    <w:name w:val="index 2"/>
    <w:basedOn w:val="Normal"/>
    <w:next w:val="Normal"/>
    <w:semiHidden/>
    <w:rsid w:val="00BB70EC"/>
    <w:pPr>
      <w:tabs>
        <w:tab w:val="right" w:pos="4176"/>
      </w:tabs>
      <w:ind w:left="568" w:hanging="284"/>
    </w:pPr>
    <w:rPr>
      <w:rFonts w:ascii="Garamond" w:hAnsi="Garamond"/>
    </w:rPr>
  </w:style>
  <w:style w:type="paragraph" w:customStyle="1" w:styleId="Byline">
    <w:name w:val="Byline"/>
    <w:rsid w:val="00BB70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70EC"/>
    <w:pPr>
      <w:tabs>
        <w:tab w:val="clear" w:pos="3600"/>
        <w:tab w:val="clear" w:pos="3958"/>
      </w:tabs>
      <w:jc w:val="right"/>
    </w:pPr>
  </w:style>
  <w:style w:type="character" w:styleId="Emphasis">
    <w:name w:val="Emphasis"/>
    <w:basedOn w:val="DefaultParagraphFont"/>
    <w:qFormat/>
    <w:rsid w:val="00BB70EC"/>
    <w:rPr>
      <w:i/>
    </w:rPr>
  </w:style>
  <w:style w:type="paragraph" w:styleId="Caption">
    <w:name w:val="caption"/>
    <w:basedOn w:val="BodyText"/>
    <w:next w:val="Normal"/>
    <w:qFormat/>
    <w:rsid w:val="00BB70EC"/>
    <w:pPr>
      <w:framePr w:w="2268" w:hSpace="181" w:vSpace="181" w:wrap="around" w:vAnchor="text" w:hAnchor="page" w:x="1135" w:y="285" w:anchorLock="1"/>
    </w:pPr>
    <w:rPr>
      <w:i/>
    </w:rPr>
  </w:style>
  <w:style w:type="paragraph" w:customStyle="1" w:styleId="MiniTOCTitle">
    <w:name w:val="MiniTOCTitle"/>
    <w:basedOn w:val="Heading4"/>
    <w:rsid w:val="00BB70EC"/>
    <w:pPr>
      <w:spacing w:before="240"/>
      <w:outlineLvl w:val="9"/>
    </w:pPr>
    <w:rPr>
      <w:noProof/>
      <w:sz w:val="24"/>
    </w:rPr>
  </w:style>
  <w:style w:type="paragraph" w:customStyle="1" w:styleId="MiniTOCItem">
    <w:name w:val="MiniTOCItem"/>
    <w:basedOn w:val="ListBullet"/>
    <w:rsid w:val="00BB70EC"/>
    <w:pPr>
      <w:numPr>
        <w:numId w:val="0"/>
      </w:numPr>
      <w:tabs>
        <w:tab w:val="right" w:leader="dot" w:pos="6521"/>
      </w:tabs>
      <w:spacing w:before="0" w:after="0"/>
    </w:pPr>
  </w:style>
  <w:style w:type="paragraph" w:customStyle="1" w:styleId="TOFTitle">
    <w:name w:val="TOFTitle"/>
    <w:basedOn w:val="TOCTitle"/>
    <w:rsid w:val="00BB70EC"/>
  </w:style>
  <w:style w:type="paragraph" w:styleId="TableofFigures">
    <w:name w:val="table of figures"/>
    <w:basedOn w:val="Normal"/>
    <w:next w:val="Normal"/>
    <w:semiHidden/>
    <w:rsid w:val="00BB70EC"/>
    <w:pPr>
      <w:tabs>
        <w:tab w:val="right" w:leader="dot" w:pos="9072"/>
      </w:tabs>
      <w:ind w:left="970" w:hanging="403"/>
    </w:pPr>
    <w:rPr>
      <w:rFonts w:ascii="Times New Roman" w:hAnsi="Times New Roman"/>
      <w:b/>
    </w:rPr>
  </w:style>
  <w:style w:type="paragraph" w:styleId="ListNumber">
    <w:name w:val="List Number"/>
    <w:basedOn w:val="List"/>
    <w:rsid w:val="00BB70EC"/>
    <w:pPr>
      <w:numPr>
        <w:numId w:val="13"/>
      </w:numPr>
      <w:tabs>
        <w:tab w:val="clear" w:pos="340"/>
      </w:tabs>
    </w:pPr>
  </w:style>
  <w:style w:type="character" w:customStyle="1" w:styleId="WingdingSymbols">
    <w:name w:val="Wingding Symbols"/>
    <w:rsid w:val="00BB70EC"/>
    <w:rPr>
      <w:rFonts w:ascii="Wingdings" w:hAnsi="Wingdings"/>
    </w:rPr>
  </w:style>
  <w:style w:type="paragraph" w:customStyle="1" w:styleId="TableHeading">
    <w:name w:val="Table Heading"/>
    <w:basedOn w:val="HeadingBase"/>
    <w:rsid w:val="00BB70EC"/>
    <w:pPr>
      <w:keepLines/>
      <w:pBdr>
        <w:bottom w:val="single" w:sz="6" w:space="1" w:color="918585"/>
      </w:pBdr>
      <w:spacing w:before="240"/>
    </w:pPr>
  </w:style>
  <w:style w:type="character" w:customStyle="1" w:styleId="HotSpot">
    <w:name w:val="HotSpot"/>
    <w:rsid w:val="00BB70EC"/>
    <w:rPr>
      <w:color w:val="0033CC"/>
      <w:u w:val="none"/>
    </w:rPr>
  </w:style>
  <w:style w:type="paragraph" w:customStyle="1" w:styleId="BodyTextRight">
    <w:name w:val="Body Text Right"/>
    <w:basedOn w:val="BodyText"/>
    <w:rsid w:val="00BB70EC"/>
    <w:pPr>
      <w:spacing w:before="0" w:after="0"/>
      <w:jc w:val="right"/>
    </w:pPr>
  </w:style>
  <w:style w:type="paragraph" w:styleId="Index3">
    <w:name w:val="index 3"/>
    <w:basedOn w:val="ListNumber2"/>
    <w:next w:val="Normal"/>
    <w:semiHidden/>
    <w:rsid w:val="00BB70EC"/>
    <w:pPr>
      <w:numPr>
        <w:numId w:val="0"/>
      </w:numPr>
      <w:tabs>
        <w:tab w:val="right" w:leader="dot" w:pos="4176"/>
      </w:tabs>
    </w:pPr>
  </w:style>
  <w:style w:type="paragraph" w:styleId="ListNumber2">
    <w:name w:val="List Number 2"/>
    <w:basedOn w:val="List2"/>
    <w:rsid w:val="00BB70EC"/>
    <w:pPr>
      <w:numPr>
        <w:numId w:val="8"/>
      </w:numPr>
      <w:tabs>
        <w:tab w:val="clear" w:pos="1060"/>
      </w:tabs>
    </w:pPr>
  </w:style>
  <w:style w:type="paragraph" w:customStyle="1" w:styleId="MarginNote">
    <w:name w:val="Margin Note"/>
    <w:basedOn w:val="BodyText"/>
    <w:rsid w:val="00BB70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70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70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70EC"/>
    <w:rPr>
      <w:sz w:val="32"/>
    </w:rPr>
  </w:style>
  <w:style w:type="paragraph" w:customStyle="1" w:styleId="HeadingProcedure">
    <w:name w:val="Heading Procedure"/>
    <w:basedOn w:val="HeadingBase"/>
    <w:next w:val="Normal"/>
    <w:rsid w:val="00BB70EC"/>
    <w:pPr>
      <w:tabs>
        <w:tab w:val="left" w:pos="0"/>
      </w:tabs>
      <w:spacing w:before="120" w:after="60"/>
    </w:pPr>
    <w:rPr>
      <w:i/>
      <w:color w:val="918585"/>
      <w:sz w:val="22"/>
    </w:rPr>
  </w:style>
  <w:style w:type="paragraph" w:customStyle="1" w:styleId="TableBodyText">
    <w:name w:val="Table Body Text"/>
    <w:basedOn w:val="BodyText"/>
    <w:rsid w:val="00BB70EC"/>
    <w:pPr>
      <w:spacing w:before="60" w:after="60"/>
    </w:pPr>
  </w:style>
  <w:style w:type="paragraph" w:styleId="ListContinue">
    <w:name w:val="List Continue"/>
    <w:basedOn w:val="List"/>
    <w:rsid w:val="00BB70EC"/>
    <w:pPr>
      <w:ind w:firstLine="0"/>
    </w:pPr>
  </w:style>
  <w:style w:type="paragraph" w:customStyle="1" w:styleId="ListNote">
    <w:name w:val="List Note"/>
    <w:basedOn w:val="List"/>
    <w:rsid w:val="00BB70EC"/>
    <w:pPr>
      <w:pBdr>
        <w:top w:val="single" w:sz="6" w:space="2" w:color="918585"/>
        <w:bottom w:val="single" w:sz="6" w:space="2" w:color="918585"/>
      </w:pBdr>
      <w:tabs>
        <w:tab w:val="left" w:pos="1021"/>
      </w:tabs>
      <w:ind w:firstLine="0"/>
    </w:pPr>
  </w:style>
  <w:style w:type="paragraph" w:customStyle="1" w:styleId="Warning">
    <w:name w:val="Warning"/>
    <w:basedOn w:val="BodyText"/>
    <w:rsid w:val="00BB70EC"/>
    <w:pPr>
      <w:shd w:val="clear" w:color="auto" w:fill="D9D9D9"/>
      <w:tabs>
        <w:tab w:val="left" w:pos="992"/>
      </w:tabs>
      <w:ind w:left="119" w:right="119"/>
    </w:pPr>
    <w:rPr>
      <w:sz w:val="20"/>
    </w:rPr>
  </w:style>
  <w:style w:type="paragraph" w:customStyle="1" w:styleId="MarginIcons">
    <w:name w:val="Margin Icons"/>
    <w:basedOn w:val="BodyText"/>
    <w:rsid w:val="00BB70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70EC"/>
    <w:rPr>
      <w:rFonts w:ascii="Courier New" w:hAnsi="Courier New"/>
    </w:rPr>
  </w:style>
  <w:style w:type="paragraph" w:customStyle="1" w:styleId="NoteBullet">
    <w:name w:val="Note Bullet"/>
    <w:basedOn w:val="Note"/>
    <w:rsid w:val="00BB70EC"/>
    <w:pPr>
      <w:tabs>
        <w:tab w:val="clear" w:pos="680"/>
      </w:tabs>
      <w:spacing w:before="60" w:after="60"/>
    </w:pPr>
  </w:style>
  <w:style w:type="paragraph" w:customStyle="1" w:styleId="SubHeading2">
    <w:name w:val="SubHeading2"/>
    <w:basedOn w:val="HeadingBase"/>
    <w:rsid w:val="00BB70EC"/>
    <w:pPr>
      <w:spacing w:before="240" w:after="60"/>
    </w:pPr>
    <w:rPr>
      <w:sz w:val="20"/>
    </w:rPr>
  </w:style>
  <w:style w:type="paragraph" w:customStyle="1" w:styleId="SubHeading1">
    <w:name w:val="SubHeading1"/>
    <w:basedOn w:val="HeadingBase"/>
    <w:rsid w:val="00BB70EC"/>
    <w:pPr>
      <w:spacing w:before="240" w:after="60"/>
    </w:pPr>
    <w:rPr>
      <w:color w:val="918585"/>
      <w:sz w:val="22"/>
    </w:rPr>
  </w:style>
  <w:style w:type="paragraph" w:customStyle="1" w:styleId="SideHeading">
    <w:name w:val="Side Heading"/>
    <w:basedOn w:val="HeadingBase"/>
    <w:rsid w:val="00BB70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70EC"/>
    <w:pPr>
      <w:numPr>
        <w:numId w:val="9"/>
      </w:numPr>
    </w:pPr>
  </w:style>
  <w:style w:type="paragraph" w:styleId="PlainText">
    <w:name w:val="Plain Text"/>
    <w:basedOn w:val="Normal"/>
    <w:link w:val="PlainTextChar"/>
    <w:rsid w:val="00BB70EC"/>
    <w:rPr>
      <w:sz w:val="20"/>
    </w:rPr>
  </w:style>
  <w:style w:type="character" w:customStyle="1" w:styleId="PlainTextChar">
    <w:name w:val="Plain Text Char"/>
    <w:basedOn w:val="DefaultParagraphFont"/>
    <w:link w:val="PlainText"/>
    <w:rsid w:val="00BB70EC"/>
    <w:rPr>
      <w:rFonts w:ascii="Courier New" w:eastAsia="Times New Roman" w:hAnsi="Courier New" w:cs="Times New Roman"/>
      <w:sz w:val="20"/>
      <w:szCs w:val="20"/>
      <w:lang w:eastAsia="en-US"/>
    </w:rPr>
  </w:style>
  <w:style w:type="character" w:customStyle="1" w:styleId="MenuOption">
    <w:name w:val="Menu Option"/>
    <w:basedOn w:val="DefaultParagraphFont"/>
    <w:rsid w:val="00BB70EC"/>
    <w:rPr>
      <w:b/>
      <w:smallCaps/>
    </w:rPr>
  </w:style>
  <w:style w:type="paragraph" w:customStyle="1" w:styleId="TableListNumber">
    <w:name w:val="Table List Number"/>
    <w:basedOn w:val="ListNumber"/>
    <w:rsid w:val="00BB70EC"/>
    <w:pPr>
      <w:numPr>
        <w:numId w:val="0"/>
      </w:numPr>
    </w:pPr>
  </w:style>
  <w:style w:type="paragraph" w:styleId="TOC4">
    <w:name w:val="toc 4"/>
    <w:basedOn w:val="TOCBase"/>
    <w:next w:val="Normal"/>
    <w:semiHidden/>
    <w:rsid w:val="00BB70EC"/>
    <w:pPr>
      <w:tabs>
        <w:tab w:val="right" w:leader="dot" w:pos="9071"/>
      </w:tabs>
      <w:ind w:left="1701"/>
    </w:pPr>
  </w:style>
  <w:style w:type="paragraph" w:customStyle="1" w:styleId="ListAlpha">
    <w:name w:val="List Alpha"/>
    <w:basedOn w:val="List"/>
    <w:rsid w:val="00BB70EC"/>
    <w:pPr>
      <w:numPr>
        <w:numId w:val="7"/>
      </w:numPr>
    </w:pPr>
  </w:style>
  <w:style w:type="paragraph" w:customStyle="1" w:styleId="ListAlpha2">
    <w:name w:val="List Alpha 2"/>
    <w:basedOn w:val="List2"/>
    <w:rsid w:val="00BB70EC"/>
    <w:pPr>
      <w:numPr>
        <w:numId w:val="6"/>
      </w:numPr>
    </w:pPr>
  </w:style>
  <w:style w:type="paragraph" w:styleId="List2">
    <w:name w:val="List 2"/>
    <w:basedOn w:val="BodyText"/>
    <w:rsid w:val="00BB70EC"/>
    <w:pPr>
      <w:tabs>
        <w:tab w:val="left" w:pos="680"/>
      </w:tabs>
      <w:spacing w:before="60" w:after="60"/>
      <w:ind w:left="680" w:hanging="340"/>
    </w:pPr>
  </w:style>
  <w:style w:type="paragraph" w:styleId="List3">
    <w:name w:val="List 3"/>
    <w:basedOn w:val="BodyText"/>
    <w:rsid w:val="00BB70EC"/>
    <w:pPr>
      <w:tabs>
        <w:tab w:val="left" w:pos="1021"/>
      </w:tabs>
      <w:spacing w:before="60" w:after="60"/>
      <w:ind w:left="1020" w:hanging="340"/>
    </w:pPr>
  </w:style>
  <w:style w:type="paragraph" w:styleId="List4">
    <w:name w:val="List 4"/>
    <w:basedOn w:val="BodyText"/>
    <w:rsid w:val="00BB70EC"/>
    <w:pPr>
      <w:tabs>
        <w:tab w:val="left" w:pos="1361"/>
      </w:tabs>
      <w:spacing w:before="60" w:after="60"/>
      <w:ind w:left="1361" w:hanging="340"/>
    </w:pPr>
  </w:style>
  <w:style w:type="paragraph" w:styleId="List5">
    <w:name w:val="List 5"/>
    <w:basedOn w:val="BodyText"/>
    <w:rsid w:val="00BB70EC"/>
    <w:pPr>
      <w:tabs>
        <w:tab w:val="left" w:pos="1701"/>
      </w:tabs>
      <w:spacing w:before="60" w:after="60"/>
      <w:ind w:left="1701" w:hanging="340"/>
    </w:pPr>
  </w:style>
  <w:style w:type="paragraph" w:styleId="ListBullet3">
    <w:name w:val="List Bullet 3"/>
    <w:basedOn w:val="List3"/>
    <w:rsid w:val="00BB70EC"/>
    <w:pPr>
      <w:numPr>
        <w:numId w:val="12"/>
      </w:numPr>
      <w:tabs>
        <w:tab w:val="clear" w:pos="1021"/>
      </w:tabs>
      <w:ind w:left="1037" w:hanging="357"/>
    </w:pPr>
  </w:style>
  <w:style w:type="paragraph" w:styleId="ListBullet4">
    <w:name w:val="List Bullet 4"/>
    <w:basedOn w:val="List4"/>
    <w:rsid w:val="00BB70EC"/>
    <w:pPr>
      <w:numPr>
        <w:numId w:val="1"/>
      </w:numPr>
      <w:tabs>
        <w:tab w:val="clear" w:pos="1361"/>
      </w:tabs>
    </w:pPr>
  </w:style>
  <w:style w:type="paragraph" w:styleId="ListBullet5">
    <w:name w:val="List Bullet 5"/>
    <w:basedOn w:val="List5"/>
    <w:rsid w:val="00BB70EC"/>
    <w:pPr>
      <w:numPr>
        <w:numId w:val="2"/>
      </w:numPr>
    </w:pPr>
  </w:style>
  <w:style w:type="paragraph" w:styleId="ListContinue2">
    <w:name w:val="List Continue 2"/>
    <w:basedOn w:val="List2"/>
    <w:rsid w:val="00BB70EC"/>
    <w:pPr>
      <w:ind w:firstLine="0"/>
    </w:pPr>
  </w:style>
  <w:style w:type="paragraph" w:styleId="ListContinue3">
    <w:name w:val="List Continue 3"/>
    <w:basedOn w:val="List3"/>
    <w:rsid w:val="00BB70EC"/>
    <w:pPr>
      <w:ind w:left="1021" w:firstLine="0"/>
    </w:pPr>
  </w:style>
  <w:style w:type="paragraph" w:styleId="ListContinue4">
    <w:name w:val="List Continue 4"/>
    <w:basedOn w:val="List4"/>
    <w:rsid w:val="00BB70EC"/>
    <w:pPr>
      <w:ind w:firstLine="0"/>
    </w:pPr>
  </w:style>
  <w:style w:type="paragraph" w:styleId="ListContinue5">
    <w:name w:val="List Continue 5"/>
    <w:basedOn w:val="List5"/>
    <w:rsid w:val="00BB70EC"/>
    <w:pPr>
      <w:ind w:firstLine="0"/>
    </w:pPr>
  </w:style>
  <w:style w:type="paragraph" w:styleId="ListNumber3">
    <w:name w:val="List Number 3"/>
    <w:basedOn w:val="List3"/>
    <w:rsid w:val="00BB70EC"/>
    <w:pPr>
      <w:numPr>
        <w:numId w:val="3"/>
      </w:numPr>
    </w:pPr>
  </w:style>
  <w:style w:type="paragraph" w:styleId="ListNumber4">
    <w:name w:val="List Number 4"/>
    <w:basedOn w:val="List4"/>
    <w:rsid w:val="00BB70EC"/>
    <w:pPr>
      <w:numPr>
        <w:numId w:val="4"/>
      </w:numPr>
    </w:pPr>
  </w:style>
  <w:style w:type="paragraph" w:styleId="ListNumber5">
    <w:name w:val="List Number 5"/>
    <w:basedOn w:val="List5"/>
    <w:rsid w:val="00BB70EC"/>
    <w:pPr>
      <w:numPr>
        <w:numId w:val="5"/>
      </w:numPr>
    </w:pPr>
  </w:style>
  <w:style w:type="paragraph" w:styleId="BlockText">
    <w:name w:val="Block Text"/>
    <w:basedOn w:val="Normal"/>
    <w:rsid w:val="00BB70EC"/>
    <w:pPr>
      <w:spacing w:after="120"/>
      <w:ind w:left="1440" w:right="1440"/>
    </w:pPr>
  </w:style>
  <w:style w:type="character" w:customStyle="1" w:styleId="Subscript">
    <w:name w:val="Subscript"/>
    <w:basedOn w:val="DefaultParagraphFont"/>
    <w:rsid w:val="00BB70EC"/>
    <w:rPr>
      <w:sz w:val="16"/>
      <w:vertAlign w:val="subscript"/>
    </w:rPr>
  </w:style>
  <w:style w:type="character" w:customStyle="1" w:styleId="Superscript">
    <w:name w:val="Superscript"/>
    <w:basedOn w:val="DefaultParagraphFont"/>
    <w:rsid w:val="00BB70EC"/>
    <w:rPr>
      <w:sz w:val="16"/>
      <w:vertAlign w:val="superscript"/>
    </w:rPr>
  </w:style>
  <w:style w:type="character" w:customStyle="1" w:styleId="Symbols">
    <w:name w:val="Symbols"/>
    <w:basedOn w:val="DefaultParagraphFont"/>
    <w:rsid w:val="00BB70EC"/>
    <w:rPr>
      <w:rFonts w:ascii="Symbol" w:hAnsi="Symbol"/>
    </w:rPr>
  </w:style>
  <w:style w:type="character" w:customStyle="1" w:styleId="MenuOptions">
    <w:name w:val="Menu Options"/>
    <w:basedOn w:val="DefaultParagraphFont"/>
    <w:rsid w:val="00BB70EC"/>
    <w:rPr>
      <w:rFonts w:ascii="Arial Narrow" w:hAnsi="Arial Narrow"/>
      <w:smallCaps/>
    </w:rPr>
  </w:style>
  <w:style w:type="character" w:customStyle="1" w:styleId="Buttons">
    <w:name w:val="Buttons"/>
    <w:basedOn w:val="DefaultParagraphFont"/>
    <w:rsid w:val="00BB70EC"/>
    <w:rPr>
      <w:b/>
    </w:rPr>
  </w:style>
  <w:style w:type="character" w:customStyle="1" w:styleId="Underlined">
    <w:name w:val="Underlined"/>
    <w:basedOn w:val="DefaultParagraphFont"/>
    <w:rsid w:val="00BB70EC"/>
    <w:rPr>
      <w:u w:val="single"/>
    </w:rPr>
  </w:style>
  <w:style w:type="paragraph" w:customStyle="1" w:styleId="TableBodyTextRight">
    <w:name w:val="Table Body Text Right"/>
    <w:basedOn w:val="TableBodyText"/>
    <w:rsid w:val="00BB70EC"/>
    <w:pPr>
      <w:widowControl w:val="0"/>
      <w:autoSpaceDE w:val="0"/>
      <w:autoSpaceDN w:val="0"/>
      <w:adjustRightInd w:val="0"/>
      <w:jc w:val="right"/>
    </w:pPr>
    <w:rPr>
      <w:rFonts w:cs="Arial"/>
      <w:szCs w:val="18"/>
    </w:rPr>
  </w:style>
  <w:style w:type="paragraph" w:customStyle="1" w:styleId="CopyrightText">
    <w:name w:val="Copyright Text"/>
    <w:basedOn w:val="BodyText"/>
    <w:rsid w:val="00BB70EC"/>
    <w:rPr>
      <w:sz w:val="18"/>
    </w:rPr>
  </w:style>
  <w:style w:type="paragraph" w:customStyle="1" w:styleId="BodySmallRight">
    <w:name w:val="Body Small Right"/>
    <w:basedOn w:val="BodyTextRight"/>
    <w:rsid w:val="00BB70EC"/>
    <w:rPr>
      <w:sz w:val="18"/>
      <w:szCs w:val="18"/>
    </w:rPr>
  </w:style>
  <w:style w:type="paragraph" w:customStyle="1" w:styleId="MarginEdition">
    <w:name w:val="Margin Edition"/>
    <w:basedOn w:val="MarginNote"/>
    <w:rsid w:val="00BB70EC"/>
    <w:pPr>
      <w:spacing w:before="0" w:after="0"/>
    </w:pPr>
    <w:rPr>
      <w:rFonts w:ascii="Times New Roman" w:hAnsi="Times New Roman"/>
      <w:color w:val="999999"/>
    </w:rPr>
  </w:style>
  <w:style w:type="paragraph" w:customStyle="1" w:styleId="Spacer">
    <w:name w:val="Spacer"/>
    <w:basedOn w:val="Normal"/>
    <w:rsid w:val="00BB70EC"/>
    <w:rPr>
      <w:sz w:val="2"/>
      <w:szCs w:val="2"/>
    </w:rPr>
  </w:style>
  <w:style w:type="character" w:customStyle="1" w:styleId="Small">
    <w:name w:val="Small"/>
    <w:basedOn w:val="DefaultParagraphFont"/>
    <w:rsid w:val="00BB70EC"/>
    <w:rPr>
      <w:sz w:val="16"/>
    </w:rPr>
  </w:style>
  <w:style w:type="paragraph" w:customStyle="1" w:styleId="WideTable">
    <w:name w:val="Wide Table"/>
    <w:basedOn w:val="Normal"/>
    <w:rsid w:val="00BB70EC"/>
    <w:pPr>
      <w:ind w:left="-1418"/>
    </w:pPr>
    <w:rPr>
      <w:sz w:val="2"/>
      <w:szCs w:val="2"/>
    </w:rPr>
  </w:style>
  <w:style w:type="character" w:styleId="PageNumber">
    <w:name w:val="page number"/>
    <w:basedOn w:val="DefaultParagraphFont"/>
    <w:rsid w:val="00BB70EC"/>
  </w:style>
  <w:style w:type="paragraph" w:styleId="Quote">
    <w:name w:val="Quote"/>
    <w:basedOn w:val="Heading1"/>
    <w:link w:val="QuoteChar"/>
    <w:qFormat/>
    <w:rsid w:val="00BB70EC"/>
    <w:rPr>
      <w:b w:val="0"/>
      <w:sz w:val="72"/>
      <w:szCs w:val="72"/>
      <w:lang w:val="en-NZ"/>
    </w:rPr>
  </w:style>
  <w:style w:type="character" w:customStyle="1" w:styleId="QuoteChar">
    <w:name w:val="Quote Char"/>
    <w:basedOn w:val="DefaultParagraphFont"/>
    <w:link w:val="Quote"/>
    <w:rsid w:val="00BB70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70EC"/>
    <w:pPr>
      <w:pageBreakBefore/>
    </w:pPr>
  </w:style>
  <w:style w:type="paragraph" w:customStyle="1" w:styleId="Border">
    <w:name w:val="Border"/>
    <w:basedOn w:val="Normal"/>
    <w:qFormat/>
    <w:rsid w:val="00BB70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70EC"/>
    <w:rPr>
      <w:b/>
      <w:bCs/>
      <w:i/>
      <w:iCs/>
      <w:color w:val="auto"/>
    </w:rPr>
  </w:style>
  <w:style w:type="paragraph" w:styleId="IntenseQuote">
    <w:name w:val="Intense Quote"/>
    <w:basedOn w:val="Normal"/>
    <w:next w:val="Normal"/>
    <w:link w:val="IntenseQuoteChar"/>
    <w:uiPriority w:val="30"/>
    <w:qFormat/>
    <w:rsid w:val="00BB70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70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70EC"/>
    <w:rPr>
      <w:smallCaps/>
      <w:color w:val="auto"/>
      <w:u w:val="single"/>
    </w:rPr>
  </w:style>
  <w:style w:type="character" w:styleId="IntenseReference">
    <w:name w:val="Intense Reference"/>
    <w:basedOn w:val="DefaultParagraphFont"/>
    <w:uiPriority w:val="32"/>
    <w:qFormat/>
    <w:rsid w:val="00BB70EC"/>
    <w:rPr>
      <w:b/>
      <w:bCs/>
      <w:smallCaps/>
      <w:color w:val="auto"/>
      <w:spacing w:val="5"/>
      <w:u w:val="single"/>
    </w:rPr>
  </w:style>
  <w:style w:type="paragraph" w:customStyle="1" w:styleId="2ColumnHeading">
    <w:name w:val="2Column Heading"/>
    <w:basedOn w:val="BodyText"/>
    <w:qFormat/>
    <w:rsid w:val="00BB70EC"/>
    <w:pPr>
      <w:spacing w:after="60"/>
      <w:ind w:left="-2268"/>
    </w:pPr>
    <w:rPr>
      <w:b/>
    </w:rPr>
  </w:style>
  <w:style w:type="paragraph" w:customStyle="1" w:styleId="Heading1TOC">
    <w:name w:val="Heading1 TOC"/>
    <w:basedOn w:val="Normal"/>
    <w:qFormat/>
    <w:rsid w:val="00BB70EC"/>
    <w:pPr>
      <w:spacing w:before="240" w:after="120"/>
    </w:pPr>
    <w:rPr>
      <w:rFonts w:ascii="Times New Roman" w:hAnsi="Times New Roman"/>
      <w:b/>
      <w:sz w:val="32"/>
    </w:rPr>
  </w:style>
  <w:style w:type="paragraph" w:customStyle="1" w:styleId="Heading2TOC">
    <w:name w:val="Heading2 TOC"/>
    <w:basedOn w:val="Normal"/>
    <w:qFormat/>
    <w:rsid w:val="00BB70EC"/>
    <w:pPr>
      <w:spacing w:before="240" w:after="60"/>
    </w:pPr>
    <w:rPr>
      <w:rFonts w:ascii="Times New Roman" w:hAnsi="Times New Roman"/>
      <w:b/>
      <w:sz w:val="28"/>
    </w:rPr>
  </w:style>
  <w:style w:type="character" w:customStyle="1" w:styleId="Underline">
    <w:name w:val="Underline"/>
    <w:basedOn w:val="DefaultParagraphFont"/>
    <w:qFormat/>
    <w:rsid w:val="00BB70EC"/>
    <w:rPr>
      <w:u w:val="single"/>
    </w:rPr>
  </w:style>
  <w:style w:type="character" w:customStyle="1" w:styleId="BoldandItalics">
    <w:name w:val="Bold and Italics"/>
    <w:qFormat/>
    <w:rsid w:val="00BB70EC"/>
    <w:rPr>
      <w:b/>
      <w:i/>
      <w:u w:val="none"/>
    </w:rPr>
  </w:style>
  <w:style w:type="paragraph" w:styleId="BalloonText">
    <w:name w:val="Balloon Text"/>
    <w:basedOn w:val="Normal"/>
    <w:link w:val="BalloonTextChar"/>
    <w:rsid w:val="00BB70EC"/>
    <w:rPr>
      <w:rFonts w:ascii="Tahoma" w:hAnsi="Tahoma" w:cs="Tahoma"/>
      <w:sz w:val="16"/>
      <w:szCs w:val="16"/>
    </w:rPr>
  </w:style>
  <w:style w:type="character" w:customStyle="1" w:styleId="BalloonTextChar">
    <w:name w:val="Balloon Text Char"/>
    <w:basedOn w:val="DefaultParagraphFont"/>
    <w:link w:val="BalloonText"/>
    <w:rsid w:val="00BB70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70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70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70EC"/>
    <w:rPr>
      <w:b/>
      <w:color w:val="660033"/>
      <w:spacing w:val="0"/>
    </w:rPr>
  </w:style>
  <w:style w:type="paragraph" w:customStyle="1" w:styleId="Nameditemlist">
    <w:name w:val="Named item list"/>
    <w:basedOn w:val="BodyText"/>
    <w:qFormat/>
    <w:rsid w:val="00BB70EC"/>
    <w:pPr>
      <w:tabs>
        <w:tab w:val="left" w:pos="2835"/>
      </w:tabs>
      <w:ind w:left="2835" w:hanging="2835"/>
    </w:pPr>
  </w:style>
  <w:style w:type="paragraph" w:customStyle="1" w:styleId="BodyTextnopadding">
    <w:name w:val="Body Text no padding"/>
    <w:basedOn w:val="BodyText"/>
    <w:qFormat/>
    <w:rsid w:val="00BB70EC"/>
    <w:pPr>
      <w:spacing w:before="0" w:after="0"/>
    </w:pPr>
  </w:style>
  <w:style w:type="paragraph" w:customStyle="1" w:styleId="BodyTextBold">
    <w:name w:val="Body Text Bold"/>
    <w:basedOn w:val="BodyText"/>
    <w:qFormat/>
    <w:rsid w:val="00BB70EC"/>
    <w:rPr>
      <w:b/>
    </w:rPr>
  </w:style>
  <w:style w:type="character" w:styleId="Hyperlink">
    <w:name w:val="Hyperlink"/>
    <w:basedOn w:val="DefaultParagraphFont"/>
    <w:uiPriority w:val="99"/>
    <w:unhideWhenUsed/>
    <w:rsid w:val="007267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627</Words>
  <Characters>3951</Characters>
  <Application>Microsoft Office Word</Application>
  <DocSecurity>0</DocSecurity>
  <Lines>164</Lines>
  <Paragraphs>88</Paragraphs>
  <ScaleCrop>false</ScaleCrop>
  <Company>Author-it Software Corporation Ltd.</Company>
  <LinksUpToDate>false</LinksUpToDate>
  <CharactersWithSpaces>4490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TLIX0010X Enable traceability in supply chains</dc:title>
  <dc:subject>Approved</dc:subject>
  <dc:creator>Industry Skills Australia</dc:creator>
  <cp:keywords>Release: 1</cp:keywords>
  <dc:description>Review Date: 12 April 2008</dc:description>
  <cp:lastModifiedBy>HSD_TPCMSd.prod</cp:lastModifiedBy>
  <cp:revision>3</cp:revision>
  <dcterms:created xsi:type="dcterms:W3CDTF">2024-07-12T07:59:00Z</dcterms:created>
  <dcterms:modified xsi:type="dcterms:W3CDTF">2024-07-12T07:59:00Z</dcterms:modified>
</cp:coreProperties>
</file>