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3BD" w:rsidP="00E773BD">
      <w:pPr>
        <w:pStyle w:val="Title"/>
      </w:pPr>
      <w:r>
        <w:fldChar w:fldCharType="begin"/>
      </w:r>
      <w:r>
        <w:instrText xml:space="preserve"> TITLE   \* MERGEFORMAT </w:instrText>
      </w:r>
      <w:r>
        <w:fldChar w:fldCharType="separate"/>
      </w:r>
      <w:r>
        <w:t>TLIX0010X Enable traceability in supply chains</w:t>
      </w:r>
      <w:r>
        <w:fldChar w:fldCharType="end"/>
      </w:r>
    </w:p>
    <w:p w:rsidR="00E773BD" w:rsidP="00E773BD">
      <w:pPr>
        <w:pStyle w:val="Version"/>
        <w:sectPr w:rsidSect="00783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12E" w:rsidP="0078312E">
      <w:pPr>
        <w:pStyle w:val="SuperHeading"/>
      </w:pPr>
      <w:r w:rsidRPr="0078312E">
        <w:t>TLIX0010X Enable traceability in supply chains</w:t>
      </w:r>
    </w:p>
    <w:p w:rsidR="00000000" w:rsidRPr="0078312E" w:rsidP="0078312E">
      <w:pPr>
        <w:pStyle w:val="Heading1"/>
      </w:pPr>
      <w:bookmarkStart w:id="1" w:name="O_1066272"/>
      <w:bookmarkEnd w:id="1"/>
      <w:r w:rsidRPr="0078312E">
        <w:t>Modification History</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Release 1.</w:t>
            </w:r>
            <w:r w:rsidRPr="0078312E">
              <w:t xml:space="preserve"> This is the first release of this unit of competency in the TLI Transport and Logistics Training Package.</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2" w:name="O_1066273"/>
      <w:bookmarkEnd w:id="2"/>
      <w:r w:rsidRPr="0078312E">
        <w:t>Application</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This unit of competency describes the skills and knowledge required to enabl</w:t>
            </w:r>
            <w:r w:rsidRPr="0078312E">
              <w:t>e traceability of products and services in supply chains. It includes identifying supply chain traceability, implementing supply chain traceability, using traceability data, monitoring risks to supply chain traceability and reviewing and reporting on suppl</w:t>
            </w:r>
            <w:r w:rsidRPr="0078312E">
              <w:t>y chain traceability.</w:t>
            </w:r>
          </w:p>
          <w:p w:rsidR="00000000" w:rsidRPr="0078312E" w:rsidP="0078312E">
            <w:pPr>
              <w:pStyle w:val="BodyText"/>
            </w:pPr>
            <w:r w:rsidRPr="0078312E">
              <w:t>Traceability is a collaborative effort that allows for the provenance of produce, products, parts and materials from suppliers as they are processed and distributed as end commodities to be confirmed. It also allows for the reliabilit</w:t>
            </w:r>
            <w:r w:rsidRPr="0078312E">
              <w:t>y of sustainability claims for human rights, the environment, workforce health and safety and anti-corruption practices to be verified. Traceability ensures that the collection and validation of data and the commitment to specified chain of custody standar</w:t>
            </w:r>
            <w:r w:rsidRPr="0078312E">
              <w:t xml:space="preserve">ds is maintained throughout the supply chain. </w:t>
            </w:r>
          </w:p>
          <w:p w:rsidR="00000000" w:rsidRPr="0078312E" w:rsidP="0078312E">
            <w:pPr>
              <w:pStyle w:val="BodyText"/>
            </w:pPr>
            <w:r w:rsidRPr="0078312E">
              <w:t>The unit is applicable to those with management or team leadership responsibilities within a supply chain.</w:t>
            </w:r>
          </w:p>
          <w:p w:rsidR="00000000" w:rsidRPr="0078312E" w:rsidP="0078312E">
            <w:pPr>
              <w:pStyle w:val="BodyText"/>
            </w:pPr>
            <w:r w:rsidRPr="0078312E">
              <w:t>No licensing, legislative or certification requirements apply to this unit at the time of publication.</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3" w:name="O_1066274"/>
      <w:bookmarkEnd w:id="3"/>
      <w:r w:rsidRPr="0078312E">
        <w:t>Pre-requisite Unit</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Not applicable</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4" w:name="O_1066275"/>
      <w:bookmarkEnd w:id="4"/>
      <w:r w:rsidRPr="0078312E">
        <w:t>Competency Field</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X - Logistics</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5" w:name="O_1066276"/>
      <w:bookmarkEnd w:id="5"/>
      <w:r w:rsidRPr="0078312E">
        <w:t>Unit Sector</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Cross sector</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6" w:name="O_1066277"/>
      <w:bookmarkEnd w:id="6"/>
      <w:r w:rsidRPr="0078312E">
        <w:t>Elements and Performance Criteria</w:t>
      </w:r>
    </w:p>
    <w:tbl>
      <w:tblPr>
        <w:tblW w:w="9497" w:type="dxa"/>
        <w:tblLayout w:type="fixed"/>
        <w:tblCellMar>
          <w:left w:w="62" w:type="dxa"/>
          <w:right w:w="62" w:type="dxa"/>
        </w:tblCellMar>
        <w:tblLook w:val="0000"/>
      </w:tblPr>
      <w:tblGrid>
        <w:gridCol w:w="3088"/>
        <w:gridCol w:w="120"/>
        <w:gridCol w:w="590"/>
        <w:gridCol w:w="5699"/>
      </w:tblGrid>
      <w:tr w:rsidTr="007831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PERFORMANCE CRITERIA</w:t>
            </w:r>
          </w:p>
        </w:tc>
      </w:tr>
      <w:tr w:rsidTr="007831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Performance criteria describe the performance needed to demonstrate achievement of the element.</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Identify supply chain</w:t>
            </w:r>
            <w:r w:rsidRPr="0078312E">
              <w:t xml:space="preserve"> </w:t>
            </w:r>
            <w:r w:rsidRPr="0078312E">
              <w:rPr>
                <w:rStyle w:val="SpecialBold"/>
              </w:rPr>
              <w:t>traceability</w:t>
            </w: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1.1</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Strategy for supply chain traceability, including Key Performance Indicators (KPIs), is confirmed</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1.2</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Product and service movements in the supply chain are identified, including any vulnerabilities</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1.3</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Legislative obligations, including chain of custody and chain of responsibility, are determined</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1.4</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Supply chain stakeholder</w:t>
            </w:r>
            <w:r>
              <w:t>’</w:t>
            </w:r>
            <w:r w:rsidRPr="0078312E">
              <w:t>s ability to undertake product and service traceability is verified</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1.5</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Responsibility and level of authority for supply chai</w:t>
            </w:r>
            <w:r w:rsidRPr="0078312E">
              <w:t>n traceability is confirmed</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Implement supply chain traceability</w:t>
            </w: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2.1</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Traceability strategy with KPIs is implemented, in consultation with supply chain stakeholders</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2.2</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Traceability strategy, KPIs and scheduled timelines are communicated to supply chain stakeholders</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2.3</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Policies, procedures and processes are implemented to support supply chain traceability strategy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2.4</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Data collection and documentation protocols a</w:t>
            </w:r>
            <w:r w:rsidRPr="0078312E">
              <w:t xml:space="preserve">re implemented to support supply chain traceability processes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2.5</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Legislative obligations, including chain of custody, are applied in the supply chain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Use supply chain</w:t>
            </w:r>
            <w:r w:rsidRPr="0078312E">
              <w:t xml:space="preserve"> </w:t>
            </w:r>
            <w:r w:rsidRPr="0078312E">
              <w:rPr>
                <w:rStyle w:val="SpecialBold"/>
              </w:rPr>
              <w:t>traceability data</w:t>
            </w:r>
          </w:p>
        </w:tc>
        <w:tc>
          <w:tcPr>
            <w:tcW w:w="710" w:type="dxa"/>
            <w:gridSpan w:val="2"/>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3.1</w:t>
            </w:r>
          </w:p>
          <w:p w:rsidR="00000000">
            <w:pPr>
              <w:pStyle w:val="BodyText"/>
              <w:keepLines w:val="0"/>
              <w:spacing w:before="0" w:after="0"/>
              <w:rPr>
                <w:rFonts w:ascii="Tahoma" w:hAnsi="Tahoma"/>
                <w:sz w:val="20"/>
                <w:lang w:val="en-NZ"/>
              </w:rPr>
            </w:pP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Product and service traceability data is used to identify supply chain performance issues and to remediate evolving situations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3.2</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Inconsistencies in product and services data is identified and remediated to ensure integrity of supply chain traceabilit</w:t>
            </w:r>
            <w:r w:rsidRPr="0078312E">
              <w:t>y</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3.3</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Certifications and data on supply chain products and services are used to verify welfare and safety claims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Monitor risks to supply chain</w:t>
            </w:r>
            <w:r w:rsidRPr="0078312E">
              <w:t xml:space="preserve"> </w:t>
            </w:r>
            <w:r w:rsidRPr="0078312E">
              <w:rPr>
                <w:rStyle w:val="SpecialBold"/>
              </w:rPr>
              <w:t>traceability</w:t>
            </w:r>
            <w:r w:rsidRPr="0078312E">
              <w:t xml:space="preserve"> </w:t>
            </w:r>
            <w:r w:rsidRPr="0078312E">
              <w:rPr>
                <w:rStyle w:val="SpecialBold"/>
              </w:rPr>
              <w:t xml:space="preserve"> </w:t>
            </w: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4.1</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High and low risk points for product and service traceability in the supply chain are id</w:t>
            </w:r>
            <w:r w:rsidRPr="0078312E">
              <w:t xml:space="preserve">entified and monitored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4.2</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Risk mitigation for traceability data system is monitored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4.3</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Corrective actions and strategies, including product </w:t>
            </w:r>
            <w:r w:rsidRPr="0078312E">
              <w:t>recalls, are monitored</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Review and report on supply chain</w:t>
            </w:r>
            <w:r w:rsidRPr="0078312E">
              <w:t xml:space="preserve"> </w:t>
            </w:r>
            <w:r w:rsidRPr="0078312E">
              <w:rPr>
                <w:rStyle w:val="SpecialBold"/>
              </w:rPr>
              <w:t>traceability</w:t>
            </w:r>
            <w:r w:rsidRPr="0078312E">
              <w:t xml:space="preserve"> </w:t>
            </w: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5.1</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Traceability strategy is reviewed, in consultation with supply chain stakeholders, to ensure KPIs are being met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5.2</w:t>
            </w:r>
          </w:p>
        </w:tc>
        <w:tc>
          <w:tcPr>
            <w:tcW w:w="5699"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 xml:space="preserve">Report on traceability outcomes is prepared and presented to approved supply chain stakeholders </w:t>
            </w:r>
          </w:p>
        </w:tc>
      </w:tr>
      <w:tr w:rsidTr="0078312E">
        <w:tblPrEx>
          <w:tblW w:w="9497" w:type="dxa"/>
          <w:tblLayout w:type="fixed"/>
          <w:tblCellMar>
            <w:left w:w="62" w:type="dxa"/>
            <w:right w:w="62" w:type="dxa"/>
          </w:tblCellMar>
          <w:tblLook w:val="0000"/>
        </w:tblPrEx>
        <w:tc>
          <w:tcPr>
            <w:tcW w:w="3088" w:type="dxa"/>
            <w:tcBorders>
              <w:top w:val="nil"/>
              <w:left w:val="nil"/>
              <w:bottom w:val="nil"/>
              <w:right w:val="nil"/>
            </w:tcBorders>
            <w:tcMar>
              <w:top w:w="0" w:type="dxa"/>
              <w:left w:w="62" w:type="dxa"/>
              <w:bottom w:w="0" w:type="dxa"/>
              <w:right w:w="62" w:type="dxa"/>
            </w:tcMar>
          </w:tcPr>
          <w:p w:rsidR="00000000" w:rsidRPr="0078312E">
            <w:pPr>
              <w:pStyle w:val="BodyText"/>
              <w:keepLines w:val="0"/>
              <w:spacing w:before="0" w:after="0"/>
            </w:pPr>
          </w:p>
        </w:tc>
        <w:tc>
          <w:tcPr>
            <w:tcW w:w="710" w:type="dxa"/>
            <w:gridSpan w:val="2"/>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rPr>
                <w:rStyle w:val="SpecialBold"/>
              </w:rPr>
              <w:t>5.3</w:t>
            </w:r>
          </w:p>
        </w:tc>
        <w:tc>
          <w:tcPr>
            <w:tcW w:w="5699"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Continuous improvement actions to support supply chain traceability are documented</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7" w:name="O_1066278"/>
      <w:bookmarkEnd w:id="7"/>
      <w:r w:rsidRPr="0078312E">
        <w:t>Foundation Skills</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Foundation skills essential to performance are explicit in the performance criteria of this unit of competency.</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8" w:name="O_1066279"/>
      <w:bookmarkEnd w:id="8"/>
      <w:r w:rsidRPr="0078312E">
        <w:t>R</w:t>
      </w:r>
      <w:r w:rsidRPr="0078312E">
        <w:t>ange of Conditions</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Range is restricted to essential operating conditions and any other variables essential to the work environment.</w:t>
            </w:r>
          </w:p>
          <w:p w:rsidR="00000000" w:rsidRPr="0078312E" w:rsidP="0078312E">
            <w:pPr>
              <w:pStyle w:val="BodyText"/>
            </w:pPr>
            <w:r w:rsidRPr="0078312E">
              <w:t>Non-essential conditions may be found in the Companion Volume Implementation Guide.</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9" w:name="O_1066280"/>
      <w:bookmarkEnd w:id="9"/>
      <w:r w:rsidRPr="0078312E">
        <w:t>Unit Mapping Information</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This is a new unit. There is no equivalent unit.</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10" w:name="O_1066287"/>
      <w:bookmarkEnd w:id="10"/>
      <w:r w:rsidRPr="0078312E">
        <w:t>Links</w:t>
      </w:r>
    </w:p>
    <w:p w:rsidR="00000000" w:rsidRPr="0078312E" w:rsidP="00E773BD">
      <w:pPr>
        <w:pStyle w:val="BodyText"/>
      </w:pPr>
      <w:r w:rsidRPr="0078312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A54B6">
        <w:rPr>
          <w:rStyle w:val="Hyperlink"/>
        </w:rPr>
        <w:t>https://vetnet.gov.au/Pages/TrainingDocs.aspx?q=df441c6e-213d-43e3-874c-0b3f7036d851</w:t>
      </w:r>
      <w:r>
        <w:fldChar w:fldCharType="end"/>
      </w:r>
    </w:p>
    <w:p w:rsidR="00000000" w:rsidRPr="0078312E" w:rsidP="00E773BD">
      <w:pPr>
        <w:pStyle w:val="BodyText"/>
        <w:sectPr w:rsidSect="0078312E">
          <w:headerReference w:type="default" r:id="rId10"/>
          <w:footerReference w:type="default" r:id="rId11"/>
          <w:pgSz w:w="11908" w:h="16833"/>
          <w:pgMar w:top="1702" w:right="1418" w:bottom="1702" w:left="1418" w:header="992" w:footer="992" w:gutter="0"/>
          <w:cols w:space="720"/>
          <w:noEndnote/>
          <w:docGrid w:linePitch="299"/>
        </w:sectPr>
      </w:pPr>
    </w:p>
    <w:p w:rsidR="00000000" w:rsidRPr="0078312E" w:rsidP="0078312E">
      <w:pPr>
        <w:pStyle w:val="SuperHeading"/>
      </w:pPr>
      <w:r w:rsidRPr="0078312E">
        <w:t>Assessment Requirements for TLIX0010X Enable traceability in supply chains</w:t>
      </w:r>
    </w:p>
    <w:p w:rsidR="00000000" w:rsidRPr="0078312E" w:rsidP="0078312E">
      <w:pPr>
        <w:pStyle w:val="Heading1"/>
      </w:pPr>
      <w:bookmarkStart w:id="11" w:name="O_1066282"/>
      <w:bookmarkEnd w:id="11"/>
      <w:r w:rsidRPr="0078312E">
        <w:t>Modification History</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rPr>
                <w:rStyle w:val="SpecialBold"/>
              </w:rPr>
              <w:t xml:space="preserve">Release 1. </w:t>
            </w:r>
            <w:r w:rsidRPr="0078312E">
              <w:t>This is the first release of this unit of competency in the TLI Transport and Logisti</w:t>
            </w:r>
            <w:r w:rsidRPr="0078312E">
              <w:t>cs Training Package.</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12" w:name="O_1066283"/>
      <w:bookmarkEnd w:id="12"/>
      <w:r w:rsidRPr="0078312E">
        <w:t>Performance Evidence</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Evidence required to demonstrate competence in this unit must be relevant to and satisfy all the requirements of the elements and performance criteria on at least one occasion and includes</w:t>
            </w:r>
          </w:p>
        </w:tc>
      </w:tr>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ListBullet"/>
            </w:pPr>
            <w:r w:rsidRPr="0078312E">
              <w:t xml:space="preserve">analysing and reporting on traceability data </w:t>
            </w:r>
          </w:p>
          <w:p w:rsidR="00000000" w:rsidRPr="0078312E" w:rsidP="0078312E">
            <w:pPr>
              <w:pStyle w:val="ListBullet"/>
            </w:pPr>
            <w:r w:rsidRPr="0078312E">
              <w:t xml:space="preserve">collecting and analysing information related to supply chain traceability  </w:t>
            </w:r>
          </w:p>
          <w:p w:rsidR="00000000" w:rsidRPr="0078312E" w:rsidP="0078312E">
            <w:pPr>
              <w:pStyle w:val="ListBullet"/>
            </w:pPr>
            <w:r w:rsidRPr="0078312E">
              <w:t>communicating with supply chain stakeholders</w:t>
            </w:r>
          </w:p>
          <w:p w:rsidR="00000000" w:rsidRPr="0078312E" w:rsidP="0078312E">
            <w:pPr>
              <w:pStyle w:val="ListBullet"/>
            </w:pPr>
            <w:r w:rsidRPr="0078312E">
              <w:t>determining legislative obligations including chain of custody and chain of responsibility</w:t>
            </w:r>
          </w:p>
          <w:p w:rsidR="00000000" w:rsidRPr="0078312E" w:rsidP="0078312E">
            <w:pPr>
              <w:pStyle w:val="ListBullet"/>
            </w:pPr>
            <w:r w:rsidRPr="0078312E">
              <w:t>developing and applying traceability data collection and documentation protocols</w:t>
            </w:r>
          </w:p>
          <w:p w:rsidR="00000000" w:rsidRPr="0078312E" w:rsidP="0078312E">
            <w:pPr>
              <w:pStyle w:val="ListBullet"/>
            </w:pPr>
            <w:r w:rsidRPr="0078312E">
              <w:t>developing and implementing policies, procedures and processes to support supply cha</w:t>
            </w:r>
            <w:r w:rsidRPr="0078312E">
              <w:t>in traceability</w:t>
            </w:r>
          </w:p>
          <w:p w:rsidR="00000000" w:rsidRPr="0078312E" w:rsidP="0078312E">
            <w:pPr>
              <w:pStyle w:val="ListBullet"/>
            </w:pPr>
            <w:r w:rsidRPr="0078312E">
              <w:t xml:space="preserve">identifying and remediating product and service data inconsistencies </w:t>
            </w:r>
          </w:p>
          <w:p w:rsidR="00000000" w:rsidRPr="0078312E" w:rsidP="0078312E">
            <w:pPr>
              <w:pStyle w:val="ListBullet"/>
            </w:pPr>
            <w:r w:rsidRPr="0078312E">
              <w:t>identifying high and low traceability risk points in the supply chain</w:t>
            </w:r>
          </w:p>
          <w:p w:rsidR="00000000" w:rsidRPr="0078312E" w:rsidP="0078312E">
            <w:pPr>
              <w:pStyle w:val="ListBullet"/>
            </w:pPr>
            <w:r w:rsidRPr="0078312E">
              <w:t xml:space="preserve">identifying product and service movements in the supply chain including vulnerabilities </w:t>
            </w:r>
          </w:p>
          <w:p w:rsidR="00000000" w:rsidRPr="0078312E" w:rsidP="0078312E">
            <w:pPr>
              <w:pStyle w:val="ListBullet"/>
            </w:pPr>
            <w:r w:rsidRPr="0078312E">
              <w:t>implementin</w:t>
            </w:r>
            <w:r w:rsidRPr="0078312E">
              <w:t xml:space="preserve">g and reviewing traceability strategy including Key Performance Indicators (KPIs) </w:t>
            </w:r>
          </w:p>
          <w:p w:rsidR="00000000" w:rsidRPr="0078312E" w:rsidP="0078312E">
            <w:pPr>
              <w:pStyle w:val="ListBullet"/>
            </w:pPr>
            <w:r w:rsidRPr="0078312E">
              <w:t>monitoring corrective actions and strategies including product and material recalls</w:t>
            </w:r>
          </w:p>
          <w:p w:rsidR="00000000" w:rsidRPr="0078312E" w:rsidP="0078312E">
            <w:pPr>
              <w:pStyle w:val="ListBullet"/>
            </w:pPr>
            <w:r w:rsidRPr="0078312E">
              <w:t xml:space="preserve">reviewing and reporting on supply chain traceability strategy </w:t>
            </w:r>
          </w:p>
          <w:p w:rsidR="00000000" w:rsidRPr="0078312E" w:rsidP="0078312E">
            <w:pPr>
              <w:pStyle w:val="ListBullet"/>
            </w:pPr>
            <w:r w:rsidRPr="0078312E">
              <w:t>undertaking risk mitigatio</w:t>
            </w:r>
            <w:r w:rsidRPr="0078312E">
              <w:t>n for traceability data systems.</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13" w:name="O_1066284"/>
      <w:bookmarkEnd w:id="13"/>
      <w:r w:rsidRPr="0078312E">
        <w:t>Knowledge Evidence</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312E">
            <w:pPr>
              <w:pStyle w:val="BodyText"/>
              <w:rPr>
                <w:lang w:val="en-NZ"/>
              </w:rPr>
            </w:pPr>
            <w:r w:rsidRPr="0078312E">
              <w:t>Evidence required to demonstrate competence in this unit must be relevant to and satisfy all the requirements of the elements and performance criteria and includes knowledge of</w:t>
            </w:r>
          </w:p>
        </w:tc>
      </w:tr>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ListBullet"/>
            </w:pPr>
            <w:r w:rsidRPr="0078312E">
              <w:tab/>
            </w:r>
            <w:r w:rsidRPr="0078312E">
              <w:t xml:space="preserve">circular economy principles in relation to addressing sustainable practices in supply chains </w:t>
            </w:r>
          </w:p>
          <w:p w:rsidR="00000000" w:rsidRPr="0078312E" w:rsidP="0078312E">
            <w:pPr>
              <w:pStyle w:val="ListBullet"/>
            </w:pPr>
            <w:r w:rsidRPr="0078312E">
              <w:t>communication methods and tools</w:t>
            </w:r>
          </w:p>
          <w:p w:rsidR="00000000" w:rsidRPr="0078312E" w:rsidP="0078312E">
            <w:pPr>
              <w:pStyle w:val="ListBullet"/>
            </w:pPr>
            <w:r w:rsidRPr="0078312E">
              <w:t>corrective actions and strategies including product and material recalls</w:t>
            </w:r>
          </w:p>
          <w:p w:rsidR="00000000" w:rsidRPr="0078312E" w:rsidP="0078312E">
            <w:pPr>
              <w:pStyle w:val="ListBullet"/>
            </w:pPr>
            <w:r w:rsidRPr="0078312E">
              <w:t xml:space="preserve">data analysis techniques </w:t>
            </w:r>
          </w:p>
          <w:p w:rsidR="00000000" w:rsidRPr="0078312E" w:rsidP="0078312E">
            <w:pPr>
              <w:pStyle w:val="ListBullet"/>
            </w:pPr>
            <w:r w:rsidRPr="0078312E">
              <w:tab/>
              <w:t>high and low risk points in th</w:t>
            </w:r>
            <w:r w:rsidRPr="0078312E">
              <w:t>e supply chain</w:t>
            </w:r>
          </w:p>
          <w:p w:rsidR="00000000" w:rsidRPr="0078312E" w:rsidP="0078312E">
            <w:pPr>
              <w:pStyle w:val="ListBullet"/>
            </w:pPr>
            <w:r w:rsidRPr="0078312E">
              <w:t xml:space="preserve">information and data collection </w:t>
            </w:r>
          </w:p>
          <w:p w:rsidR="00000000" w:rsidRPr="0078312E" w:rsidP="0078312E">
            <w:pPr>
              <w:pStyle w:val="ListBullet"/>
            </w:pPr>
            <w:r w:rsidRPr="0078312E">
              <w:t>legislative obligations including chain of custody and chain of responsibility</w:t>
            </w:r>
          </w:p>
          <w:p w:rsidR="00000000" w:rsidRPr="0078312E" w:rsidP="0078312E">
            <w:pPr>
              <w:pStyle w:val="ListBullet"/>
            </w:pPr>
            <w:r w:rsidRPr="0078312E">
              <w:t>policies and procedures that support traceability</w:t>
            </w:r>
          </w:p>
          <w:p w:rsidR="00000000" w:rsidRPr="0078312E" w:rsidP="0078312E">
            <w:pPr>
              <w:pStyle w:val="ListBullet"/>
            </w:pPr>
            <w:r w:rsidRPr="0078312E">
              <w:t>product and service movements in supply chains including vulnerabilities</w:t>
            </w:r>
          </w:p>
          <w:p w:rsidR="00000000" w:rsidRPr="0078312E" w:rsidP="0078312E">
            <w:pPr>
              <w:pStyle w:val="ListBullet"/>
            </w:pPr>
            <w:r w:rsidRPr="0078312E">
              <w:t>recogn</w:t>
            </w:r>
            <w:r w:rsidRPr="0078312E">
              <w:t>ition and remediation of product and services data inconsistencies</w:t>
            </w:r>
          </w:p>
          <w:p w:rsidR="00000000" w:rsidRPr="0078312E" w:rsidP="0078312E">
            <w:pPr>
              <w:pStyle w:val="ListBullet"/>
            </w:pPr>
            <w:r w:rsidRPr="0078312E">
              <w:t xml:space="preserve">remediation of supply chain issues and problems identified through traceability data </w:t>
            </w:r>
          </w:p>
          <w:p w:rsidR="00000000" w:rsidRPr="0078312E" w:rsidP="0078312E">
            <w:pPr>
              <w:pStyle w:val="ListBullet"/>
            </w:pPr>
            <w:r w:rsidRPr="0078312E">
              <w:t xml:space="preserve">review and report preparation </w:t>
            </w:r>
          </w:p>
          <w:p w:rsidR="00000000" w:rsidRPr="0078312E" w:rsidP="0078312E">
            <w:pPr>
              <w:pStyle w:val="ListBullet"/>
            </w:pPr>
            <w:r w:rsidRPr="0078312E">
              <w:t xml:space="preserve">risk mitigation </w:t>
            </w:r>
          </w:p>
          <w:p w:rsidR="00000000" w:rsidRPr="0078312E" w:rsidP="0078312E">
            <w:pPr>
              <w:pStyle w:val="ListBullet"/>
            </w:pPr>
            <w:r w:rsidRPr="0078312E">
              <w:t>supply chain stakeholders</w:t>
            </w:r>
          </w:p>
          <w:p w:rsidR="00000000" w:rsidRPr="0078312E" w:rsidP="0078312E">
            <w:pPr>
              <w:pStyle w:val="ListBullet"/>
            </w:pPr>
            <w:r w:rsidRPr="0078312E">
              <w:tab/>
              <w:t>traceability standards</w:t>
            </w:r>
          </w:p>
          <w:p w:rsidR="00000000" w:rsidRPr="0078312E" w:rsidP="0078312E">
            <w:pPr>
              <w:pStyle w:val="ListBullet"/>
            </w:pPr>
            <w:r w:rsidRPr="0078312E">
              <w:t xml:space="preserve">traceability strategy and processes including Key Performance Indicators (KPIs). </w:t>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14" w:name="O_1066285"/>
      <w:bookmarkEnd w:id="14"/>
      <w:r w:rsidRPr="0078312E">
        <w:t>Assessment Conditions</w:t>
      </w:r>
    </w:p>
    <w:tbl>
      <w:tblPr>
        <w:tblW w:w="9497" w:type="dxa"/>
        <w:tblLayout w:type="fixed"/>
        <w:tblCellMar>
          <w:left w:w="62" w:type="dxa"/>
          <w:right w:w="62" w:type="dxa"/>
        </w:tblCellMar>
        <w:tblLook w:val="0000"/>
      </w:tblPr>
      <w:tblGrid>
        <w:gridCol w:w="9497"/>
      </w:tblGrid>
      <w:tr w:rsidTr="00783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312E" w:rsidP="0078312E">
            <w:pPr>
              <w:pStyle w:val="BodyText"/>
            </w:pPr>
            <w:r w:rsidRPr="0078312E">
              <w:t>Assessors must hold credentials specified within the Standards for Registered Training Organisations current at the time of assessm</w:t>
            </w:r>
            <w:r w:rsidRPr="0078312E">
              <w:t xml:space="preserve">ent. </w:t>
            </w:r>
          </w:p>
          <w:p w:rsidR="00000000" w:rsidRPr="0078312E" w:rsidP="0078312E">
            <w:pPr>
              <w:pStyle w:val="BodyText"/>
            </w:pPr>
            <w:r w:rsidRPr="0078312E">
              <w:t>Assessment must satisfy the Principles of Assessment and Rules of Evidence and all regulatory requirements included within the Standards for Registered Training Organisations current at the time of assessment.</w:t>
            </w:r>
          </w:p>
          <w:p w:rsidR="00000000" w:rsidRPr="0078312E" w:rsidP="0078312E">
            <w:pPr>
              <w:pStyle w:val="BodyText"/>
            </w:pPr>
            <w:r w:rsidRPr="0078312E">
              <w:t>Assessment must occur in workplace opera</w:t>
            </w:r>
            <w:r w:rsidRPr="0078312E">
              <w:t>tional situations where it is appropriate to do so. Where this is not appropriate, assessment must occur in simulated workplace operational situations that replicate workplace conditions.</w:t>
            </w:r>
          </w:p>
          <w:p w:rsidR="00000000" w:rsidRPr="0078312E" w:rsidP="0078312E">
            <w:pPr>
              <w:pStyle w:val="BodyText"/>
            </w:pPr>
            <w:r w:rsidRPr="0078312E">
              <w:t>Assessment processes and techniques must be appropriate to the langu</w:t>
            </w:r>
            <w:r w:rsidRPr="0078312E">
              <w:t>age, literacy and numeracy requirements of the work being performed and the needs of the candidate.</w:t>
            </w:r>
          </w:p>
          <w:p w:rsidR="00000000" w:rsidRPr="0078312E" w:rsidP="0078312E">
            <w:pPr>
              <w:pStyle w:val="BodyText"/>
            </w:pPr>
            <w:r w:rsidRPr="0078312E">
              <w:t>Resources for assessment must include access to a range of</w:t>
            </w:r>
          </w:p>
          <w:p w:rsidR="00000000" w:rsidRPr="0078312E" w:rsidP="0078312E">
            <w:pPr>
              <w:pStyle w:val="ListBullet"/>
            </w:pPr>
            <w:r w:rsidRPr="0078312E">
              <w:t>exercises, case studies or other simulations</w:t>
            </w:r>
          </w:p>
          <w:p w:rsidR="00000000" w:rsidRPr="0078312E" w:rsidP="0078312E">
            <w:pPr>
              <w:pStyle w:val="ListBullet"/>
            </w:pPr>
            <w:r w:rsidRPr="0078312E">
              <w:t>materials and tools including supply chain digital equipment used in industry</w:t>
            </w:r>
          </w:p>
          <w:p w:rsidR="00000000" w:rsidRPr="0078312E" w:rsidP="0078312E">
            <w:pPr>
              <w:pStyle w:val="ListBullet"/>
            </w:pPr>
            <w:r w:rsidRPr="0078312E">
              <w:t>documentation including organisational policies and procedures, industry standards, regulations, codes of practice, operational manuals and equipment specifications.</w:t>
            </w:r>
            <w:r w:rsidRPr="0078312E">
              <w:tab/>
            </w:r>
          </w:p>
        </w:tc>
      </w:tr>
    </w:tbl>
    <w:p w:rsidR="00000000" w:rsidRPr="0078312E" w:rsidP="0078312E">
      <w:pPr>
        <w:pStyle w:val="NoPaddingFontSize1"/>
      </w:pPr>
    </w:p>
    <w:p w:rsidR="00000000" w:rsidRPr="0078312E" w:rsidP="0078312E">
      <w:pPr>
        <w:pStyle w:val="AllowPageBreak"/>
      </w:pPr>
    </w:p>
    <w:p w:rsidR="00000000" w:rsidRPr="0078312E" w:rsidP="0078312E">
      <w:pPr>
        <w:pStyle w:val="Heading1"/>
      </w:pPr>
      <w:bookmarkStart w:id="15" w:name="O_1066288"/>
      <w:bookmarkEnd w:id="15"/>
      <w:r w:rsidRPr="0078312E">
        <w:t>Links</w:t>
      </w:r>
    </w:p>
    <w:p w:rsidR="00000000" w:rsidRPr="0078312E" w:rsidP="00E773BD">
      <w:pPr>
        <w:pStyle w:val="BodyText"/>
      </w:pPr>
      <w:r w:rsidRPr="0078312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A54B6">
        <w:rPr>
          <w:rStyle w:val="Hyperlink"/>
        </w:rPr>
        <w:t>https://vetnet.gov.au/Pages/TrainingDocs.aspx?q=df441c6e-213d-43e3-874c-0b3f7036d851</w:t>
      </w:r>
      <w:r>
        <w:fldChar w:fldCharType="end"/>
      </w:r>
    </w:p>
    <w:p w:rsidR="00000000" w:rsidRPr="0078312E" w:rsidP="0078312E"/>
    <w:sectPr w:rsidSect="007831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2E" w:rsidRPr="00E773BD" w:rsidP="00E77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BD" w:rsidP="00783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3BD" w:rsidP="007831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773BD" w:rsidP="007831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2E" w:rsidP="0078312E">
    <w:pPr>
      <w:pStyle w:val="Footer"/>
      <w:framePr w:wrap="around"/>
    </w:pPr>
    <w:r>
      <w:fldChar w:fldCharType="begin"/>
    </w:r>
    <w:r>
      <w:instrText xml:space="preserve"> DOCPROPERTY  Subject  \* MERGEFORMAT </w:instrText>
    </w:r>
    <w:r>
      <w:fldChar w:fldCharType="separate"/>
    </w:r>
    <w:r w:rsidR="00E773BD">
      <w:t>Approved</w:t>
    </w:r>
    <w:r w:rsidR="00E773BD">
      <w:fldChar w:fldCharType="end"/>
    </w:r>
    <w:r>
      <w:tab/>
      <w:t xml:space="preserve">Page </w:t>
    </w:r>
    <w:r>
      <w:fldChar w:fldCharType="begin"/>
    </w:r>
    <w:r>
      <w:instrText xml:space="preserve"> PAGE  \* Arabic  \* MERGEFORMAT </w:instrText>
    </w:r>
    <w:r>
      <w:fldChar w:fldCharType="separate"/>
    </w:r>
    <w:r w:rsidR="00E773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73BD">
      <w:rPr>
        <w:noProof/>
      </w:rPr>
      <w:t>4</w:t>
    </w:r>
    <w:r>
      <w:rPr>
        <w:noProof/>
      </w:rPr>
      <w:fldChar w:fldCharType="end"/>
    </w:r>
  </w:p>
  <w:p w:rsidR="0078312E" w:rsidP="0078312E">
    <w:pPr>
      <w:pStyle w:val="Footer"/>
      <w:framePr w:wrap="around"/>
    </w:pPr>
    <w:r>
      <w:t xml:space="preserve">© Commonwealth of Australia, </w:t>
    </w:r>
    <w:r>
      <w:fldChar w:fldCharType="begin"/>
    </w:r>
    <w:r>
      <w:instrText xml:space="preserve"> DATE  \@ "yyyy"  \* MERGEFORMAT </w:instrText>
    </w:r>
    <w:r>
      <w:fldChar w:fldCharType="separate"/>
    </w:r>
    <w:r w:rsidR="00E773BD">
      <w:rPr>
        <w:noProof/>
      </w:rPr>
      <w:t>2025</w:t>
    </w:r>
    <w:r>
      <w:fldChar w:fldCharType="end"/>
    </w:r>
    <w:r>
      <w:tab/>
    </w:r>
    <w:r>
      <w:fldChar w:fldCharType="begin"/>
    </w:r>
    <w:r>
      <w:instrText xml:space="preserve"> DOCPROPERTY  Author  \* MERGEFORMAT </w:instrText>
    </w:r>
    <w:r>
      <w:fldChar w:fldCharType="separate"/>
    </w:r>
    <w:r w:rsidR="00E773BD">
      <w:t>Industry Skills Australia</w:t>
    </w:r>
    <w:r w:rsidR="00E773BD">
      <w:fldChar w:fldCharType="end"/>
    </w:r>
  </w:p>
  <w:p w:rsidR="0078312E" w:rsidP="00783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12E" w:rsidRPr="00E773BD" w:rsidP="00E77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3BD" w:rsidRPr="002D2AF8" w:rsidP="0078312E">
    <w:pPr>
      <w:pStyle w:val="Header"/>
      <w:framePr w:wrap="around"/>
    </w:pPr>
    <w:r>
      <w:fldChar w:fldCharType="begin"/>
    </w:r>
    <w:r>
      <w:instrText xml:space="preserve"> TITLE   \* MERGEFORMAT </w:instrText>
    </w:r>
    <w:r>
      <w:fldChar w:fldCharType="separate"/>
    </w:r>
    <w:r>
      <w:t>TLIX0010X Enable traceability in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73BD" w:rsidP="007831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12E" w:rsidRPr="002D2AF8" w:rsidP="0078312E">
    <w:pPr>
      <w:pStyle w:val="Header"/>
      <w:framePr w:wrap="around"/>
    </w:pPr>
    <w:r>
      <w:fldChar w:fldCharType="begin"/>
    </w:r>
    <w:r>
      <w:instrText xml:space="preserve"> TITLE   \* MERGEFORMAT </w:instrText>
    </w:r>
    <w:r>
      <w:fldChar w:fldCharType="separate"/>
    </w:r>
    <w:r w:rsidR="00E773BD">
      <w:t>TLIX0010X Enable traceability in supply chains</w:t>
    </w:r>
    <w:r w:rsidR="00E773BD">
      <w:fldChar w:fldCharType="end"/>
    </w:r>
    <w:r>
      <w:tab/>
      <w:t xml:space="preserve">Date this document was generated: </w:t>
    </w:r>
    <w:r>
      <w:fldChar w:fldCharType="begin"/>
    </w:r>
    <w:r>
      <w:instrText xml:space="preserve"> CREATEDATE  \@ "d MMMM yyyy"  \* MERGEFORMAT </w:instrText>
    </w:r>
    <w:r>
      <w:fldChar w:fldCharType="separate"/>
    </w:r>
    <w:r w:rsidR="00E773BD">
      <w:rPr>
        <w:noProof/>
      </w:rPr>
      <w:t>2 March 2025</w:t>
    </w:r>
    <w:r>
      <w:fldChar w:fldCharType="end"/>
    </w:r>
  </w:p>
  <w:p w:rsidR="0078312E" w:rsidP="00783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C8C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206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12E"/>
    <w:pPr>
      <w:spacing w:before="360" w:after="60"/>
      <w:outlineLvl w:val="0"/>
    </w:pPr>
    <w:rPr>
      <w:sz w:val="32"/>
    </w:rPr>
  </w:style>
  <w:style w:type="paragraph" w:styleId="Heading2">
    <w:name w:val="heading 2"/>
    <w:basedOn w:val="HeadingBase"/>
    <w:next w:val="BodyText"/>
    <w:link w:val="Heading2Char"/>
    <w:qFormat/>
    <w:rsid w:val="0078312E"/>
    <w:pPr>
      <w:keepLines/>
      <w:spacing w:before="240" w:after="120"/>
      <w:outlineLvl w:val="1"/>
    </w:pPr>
    <w:rPr>
      <w:sz w:val="28"/>
      <w:szCs w:val="40"/>
    </w:rPr>
  </w:style>
  <w:style w:type="paragraph" w:styleId="Heading3">
    <w:name w:val="heading 3"/>
    <w:basedOn w:val="HeadingBase"/>
    <w:next w:val="BodyText"/>
    <w:link w:val="Heading3Char"/>
    <w:qFormat/>
    <w:rsid w:val="0078312E"/>
    <w:pPr>
      <w:spacing w:before="180" w:after="120"/>
      <w:outlineLvl w:val="2"/>
    </w:pPr>
    <w:rPr>
      <w:spacing w:val="-10"/>
      <w:kern w:val="32"/>
    </w:rPr>
  </w:style>
  <w:style w:type="paragraph" w:styleId="Heading4">
    <w:name w:val="heading 4"/>
    <w:basedOn w:val="HeadingBase"/>
    <w:next w:val="BodyText"/>
    <w:link w:val="Heading4Char"/>
    <w:qFormat/>
    <w:rsid w:val="0078312E"/>
    <w:pPr>
      <w:spacing w:before="160" w:after="120"/>
      <w:outlineLvl w:val="3"/>
    </w:pPr>
    <w:rPr>
      <w:sz w:val="22"/>
    </w:rPr>
  </w:style>
  <w:style w:type="paragraph" w:styleId="Heading5">
    <w:name w:val="heading 5"/>
    <w:basedOn w:val="HeadingBase"/>
    <w:next w:val="Normal"/>
    <w:link w:val="Heading5Char"/>
    <w:qFormat/>
    <w:rsid w:val="0078312E"/>
    <w:pPr>
      <w:spacing w:before="80"/>
      <w:outlineLvl w:val="4"/>
    </w:pPr>
    <w:rPr>
      <w:color w:val="918585"/>
      <w:sz w:val="20"/>
    </w:rPr>
  </w:style>
  <w:style w:type="paragraph" w:styleId="Heading6">
    <w:name w:val="heading 6"/>
    <w:basedOn w:val="HeadingBase"/>
    <w:next w:val="Normal"/>
    <w:link w:val="Heading6Char"/>
    <w:qFormat/>
    <w:rsid w:val="0078312E"/>
    <w:pPr>
      <w:spacing w:before="60"/>
      <w:outlineLvl w:val="5"/>
    </w:pPr>
    <w:rPr>
      <w:color w:val="918585"/>
      <w:sz w:val="20"/>
    </w:rPr>
  </w:style>
  <w:style w:type="paragraph" w:styleId="Heading7">
    <w:name w:val="heading 7"/>
    <w:basedOn w:val="Normal"/>
    <w:next w:val="Normal"/>
    <w:link w:val="Heading7Char"/>
    <w:qFormat/>
    <w:rsid w:val="0078312E"/>
    <w:pPr>
      <w:ind w:left="720"/>
      <w:outlineLvl w:val="6"/>
    </w:pPr>
    <w:rPr>
      <w:i/>
    </w:rPr>
  </w:style>
  <w:style w:type="paragraph" w:styleId="Heading8">
    <w:name w:val="heading 8"/>
    <w:basedOn w:val="Normal"/>
    <w:next w:val="Normal"/>
    <w:link w:val="Heading8Char"/>
    <w:qFormat/>
    <w:rsid w:val="0078312E"/>
    <w:pPr>
      <w:ind w:left="720"/>
      <w:outlineLvl w:val="7"/>
    </w:pPr>
    <w:rPr>
      <w:i/>
    </w:rPr>
  </w:style>
  <w:style w:type="paragraph" w:styleId="Heading9">
    <w:name w:val="heading 9"/>
    <w:basedOn w:val="Normal"/>
    <w:next w:val="Normal"/>
    <w:link w:val="Heading9Char"/>
    <w:qFormat/>
    <w:rsid w:val="0078312E"/>
    <w:pPr>
      <w:ind w:left="720"/>
      <w:outlineLvl w:val="8"/>
    </w:pPr>
    <w:rPr>
      <w:i/>
    </w:rPr>
  </w:style>
  <w:style w:type="character" w:default="1" w:styleId="DefaultParagraphFont">
    <w:name w:val="Default Paragraph Font"/>
    <w:uiPriority w:val="1"/>
    <w:unhideWhenUsed/>
    <w:rsid w:val="00783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12E"/>
  </w:style>
  <w:style w:type="character" w:customStyle="1" w:styleId="Heading1Char">
    <w:name w:val="Heading 1 Char"/>
    <w:basedOn w:val="DefaultParagraphFont"/>
    <w:link w:val="Heading1"/>
    <w:rsid w:val="0078312E"/>
    <w:rPr>
      <w:rFonts w:ascii="Times New Roman" w:eastAsia="Times New Roman" w:hAnsi="Times New Roman" w:cs="Times New Roman"/>
      <w:b/>
      <w:sz w:val="32"/>
      <w:szCs w:val="20"/>
      <w:lang w:eastAsia="en-US"/>
    </w:rPr>
  </w:style>
  <w:style w:type="paragraph" w:styleId="BodyText">
    <w:name w:val="Body Text"/>
    <w:basedOn w:val="Normal"/>
    <w:link w:val="BodyTextChar"/>
    <w:rsid w:val="00783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12E"/>
    <w:rPr>
      <w:rFonts w:ascii="Times New Roman" w:eastAsia="Times New Roman" w:hAnsi="Times New Roman" w:cs="Times New Roman"/>
      <w:sz w:val="24"/>
      <w:lang w:eastAsia="en-US"/>
    </w:rPr>
  </w:style>
  <w:style w:type="paragraph" w:styleId="ListBullet">
    <w:name w:val="List Bullet"/>
    <w:basedOn w:val="List"/>
    <w:rsid w:val="0078312E"/>
    <w:pPr>
      <w:numPr>
        <w:numId w:val="11"/>
      </w:numPr>
      <w:tabs>
        <w:tab w:val="clear" w:pos="340"/>
      </w:tabs>
      <w:spacing w:before="40" w:after="40"/>
    </w:pPr>
  </w:style>
  <w:style w:type="character" w:customStyle="1" w:styleId="SpecialBold">
    <w:name w:val="Special Bold"/>
    <w:basedOn w:val="DefaultParagraphFont"/>
    <w:rsid w:val="0078312E"/>
    <w:rPr>
      <w:b/>
      <w:spacing w:val="0"/>
    </w:rPr>
  </w:style>
  <w:style w:type="paragraph" w:customStyle="1" w:styleId="SuperHeading">
    <w:name w:val="SuperHeading"/>
    <w:basedOn w:val="Normal"/>
    <w:rsid w:val="0078312E"/>
    <w:pPr>
      <w:spacing w:before="240" w:after="120"/>
      <w:outlineLvl w:val="0"/>
    </w:pPr>
    <w:rPr>
      <w:rFonts w:ascii="Times New Roman" w:hAnsi="Times New Roman"/>
      <w:b/>
      <w:sz w:val="32"/>
    </w:rPr>
  </w:style>
  <w:style w:type="paragraph" w:customStyle="1" w:styleId="AllowPageBreak">
    <w:name w:val="AllowPageBreak"/>
    <w:rsid w:val="007831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3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12E"/>
    <w:rPr>
      <w:rFonts w:ascii="Courier New" w:eastAsia="Times New Roman" w:hAnsi="Courier New" w:cs="Times New Roman"/>
      <w:i/>
      <w:szCs w:val="20"/>
      <w:lang w:eastAsia="en-US"/>
    </w:rPr>
  </w:style>
  <w:style w:type="paragraph" w:customStyle="1" w:styleId="HeadingBase">
    <w:name w:val="Heading Base"/>
    <w:rsid w:val="00783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12E"/>
    <w:pPr>
      <w:tabs>
        <w:tab w:val="right" w:leader="dot" w:pos="9072"/>
      </w:tabs>
      <w:ind w:left="567"/>
    </w:pPr>
    <w:rPr>
      <w:szCs w:val="22"/>
    </w:rPr>
  </w:style>
  <w:style w:type="paragraph" w:customStyle="1" w:styleId="TOCBase">
    <w:name w:val="TOC Base"/>
    <w:rsid w:val="00783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12E"/>
    <w:pPr>
      <w:tabs>
        <w:tab w:val="right" w:leader="dot" w:pos="9072"/>
      </w:tabs>
      <w:spacing w:before="40" w:after="40"/>
      <w:ind w:left="284"/>
    </w:pPr>
    <w:rPr>
      <w:rFonts w:ascii="Times New Roman" w:hAnsi="Times New Roman"/>
    </w:rPr>
  </w:style>
  <w:style w:type="paragraph" w:styleId="TOC1">
    <w:name w:val="toc 1"/>
    <w:basedOn w:val="TOCBase"/>
    <w:next w:val="Normal"/>
    <w:rsid w:val="00783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12E"/>
    <w:rPr>
      <w:rFonts w:ascii="Times New Roman" w:eastAsia="Times New Roman" w:hAnsi="Times New Roman" w:cs="Times New Roman"/>
      <w:sz w:val="16"/>
      <w:lang w:eastAsia="en-US"/>
    </w:rPr>
  </w:style>
  <w:style w:type="paragraph" w:styleId="Title">
    <w:name w:val="Title"/>
    <w:basedOn w:val="HeadingBase"/>
    <w:link w:val="TitleChar"/>
    <w:qFormat/>
    <w:rsid w:val="0078312E"/>
    <w:pPr>
      <w:spacing w:before="5040"/>
      <w:jc w:val="center"/>
    </w:pPr>
    <w:rPr>
      <w:sz w:val="48"/>
      <w:szCs w:val="72"/>
      <w:lang w:val="en-US"/>
    </w:rPr>
  </w:style>
  <w:style w:type="character" w:customStyle="1" w:styleId="TitleChar">
    <w:name w:val="Title Char"/>
    <w:basedOn w:val="DefaultParagraphFont"/>
    <w:link w:val="Title"/>
    <w:rsid w:val="00783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12E"/>
    <w:pPr>
      <w:tabs>
        <w:tab w:val="left" w:pos="3600"/>
        <w:tab w:val="left" w:pos="3958"/>
      </w:tabs>
    </w:pPr>
  </w:style>
  <w:style w:type="paragraph" w:styleId="List">
    <w:name w:val="List"/>
    <w:basedOn w:val="BodyText"/>
    <w:next w:val="BodyText"/>
    <w:rsid w:val="0078312E"/>
    <w:pPr>
      <w:tabs>
        <w:tab w:val="left" w:pos="340"/>
      </w:tabs>
      <w:spacing w:before="60" w:after="60"/>
      <w:ind w:left="340" w:hanging="340"/>
    </w:pPr>
  </w:style>
  <w:style w:type="paragraph" w:customStyle="1" w:styleId="Note">
    <w:name w:val="Note"/>
    <w:basedOn w:val="BodyText"/>
    <w:rsid w:val="00783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12E"/>
    <w:pPr>
      <w:framePr w:wrap="auto" w:hAnchor="text" w:y="6049"/>
    </w:pPr>
    <w:rPr>
      <w:color w:val="000000"/>
      <w:sz w:val="40"/>
    </w:rPr>
  </w:style>
  <w:style w:type="paragraph" w:customStyle="1" w:styleId="TOCTitle">
    <w:name w:val="TOCTitle"/>
    <w:basedOn w:val="Heading1"/>
    <w:rsid w:val="0078312E"/>
    <w:pPr>
      <w:spacing w:after="240"/>
      <w:jc w:val="center"/>
      <w:outlineLvl w:val="9"/>
    </w:pPr>
    <w:rPr>
      <w:caps/>
    </w:rPr>
  </w:style>
  <w:style w:type="paragraph" w:customStyle="1" w:styleId="Version">
    <w:name w:val="Version"/>
    <w:rsid w:val="007831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12E"/>
    <w:pPr>
      <w:numPr>
        <w:numId w:val="12"/>
      </w:numPr>
      <w:tabs>
        <w:tab w:val="clear" w:pos="680"/>
      </w:tabs>
    </w:pPr>
  </w:style>
  <w:style w:type="paragraph" w:styleId="Index1">
    <w:name w:val="index 1"/>
    <w:basedOn w:val="Normal"/>
    <w:next w:val="Normal"/>
    <w:semiHidden/>
    <w:rsid w:val="0078312E"/>
    <w:pPr>
      <w:keepNext w:val="0"/>
      <w:tabs>
        <w:tab w:val="right" w:pos="4176"/>
      </w:tabs>
      <w:ind w:left="198" w:hanging="198"/>
    </w:pPr>
    <w:rPr>
      <w:rFonts w:ascii="Garamond" w:hAnsi="Garamond"/>
    </w:rPr>
  </w:style>
  <w:style w:type="paragraph" w:styleId="IndexHeading">
    <w:name w:val="index heading"/>
    <w:basedOn w:val="Normal"/>
    <w:next w:val="Index1"/>
    <w:semiHidden/>
    <w:rsid w:val="0078312E"/>
    <w:pPr>
      <w:spacing w:before="120" w:after="120"/>
    </w:pPr>
    <w:rPr>
      <w:rFonts w:ascii="Arial" w:hAnsi="Arial"/>
      <w:b/>
      <w:color w:val="918585"/>
      <w:sz w:val="24"/>
    </w:rPr>
  </w:style>
  <w:style w:type="paragraph" w:styleId="Header">
    <w:name w:val="header"/>
    <w:basedOn w:val="Normal"/>
    <w:link w:val="HeaderChar"/>
    <w:rsid w:val="00783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12E"/>
    <w:rPr>
      <w:rFonts w:ascii="Times New Roman" w:eastAsia="Times New Roman" w:hAnsi="Times New Roman" w:cs="Times New Roman"/>
      <w:sz w:val="16"/>
      <w:szCs w:val="20"/>
      <w:lang w:val="en-GB" w:eastAsia="en-US"/>
    </w:rPr>
  </w:style>
  <w:style w:type="paragraph" w:customStyle="1" w:styleId="Chapter">
    <w:name w:val="Chapter"/>
    <w:basedOn w:val="Normal"/>
    <w:rsid w:val="0078312E"/>
    <w:pPr>
      <w:spacing w:before="240"/>
    </w:pPr>
    <w:rPr>
      <w:rFonts w:ascii="Times New Roman" w:hAnsi="Times New Roman"/>
      <w:smallCaps/>
      <w:spacing w:val="80"/>
      <w:sz w:val="28"/>
    </w:rPr>
  </w:style>
  <w:style w:type="paragraph" w:customStyle="1" w:styleId="InChapter">
    <w:name w:val="InChapter"/>
    <w:basedOn w:val="Heading3"/>
    <w:rsid w:val="0078312E"/>
    <w:pPr>
      <w:spacing w:after="240"/>
      <w:outlineLvl w:val="9"/>
    </w:pPr>
    <w:rPr>
      <w:noProof/>
    </w:rPr>
  </w:style>
  <w:style w:type="paragraph" w:styleId="Index2">
    <w:name w:val="index 2"/>
    <w:basedOn w:val="Normal"/>
    <w:next w:val="Normal"/>
    <w:semiHidden/>
    <w:rsid w:val="0078312E"/>
    <w:pPr>
      <w:tabs>
        <w:tab w:val="right" w:pos="4176"/>
      </w:tabs>
      <w:ind w:left="568" w:hanging="284"/>
    </w:pPr>
    <w:rPr>
      <w:rFonts w:ascii="Garamond" w:hAnsi="Garamond"/>
    </w:rPr>
  </w:style>
  <w:style w:type="paragraph" w:customStyle="1" w:styleId="Byline">
    <w:name w:val="Byline"/>
    <w:rsid w:val="00783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12E"/>
    <w:pPr>
      <w:tabs>
        <w:tab w:val="clear" w:pos="3600"/>
        <w:tab w:val="clear" w:pos="3958"/>
      </w:tabs>
      <w:jc w:val="right"/>
    </w:pPr>
  </w:style>
  <w:style w:type="character" w:styleId="Emphasis">
    <w:name w:val="Emphasis"/>
    <w:basedOn w:val="DefaultParagraphFont"/>
    <w:qFormat/>
    <w:rsid w:val="0078312E"/>
    <w:rPr>
      <w:i/>
    </w:rPr>
  </w:style>
  <w:style w:type="paragraph" w:styleId="Caption">
    <w:name w:val="caption"/>
    <w:basedOn w:val="BodyText"/>
    <w:next w:val="Normal"/>
    <w:qFormat/>
    <w:rsid w:val="0078312E"/>
    <w:pPr>
      <w:framePr w:w="2268" w:hSpace="181" w:vSpace="181" w:wrap="around" w:vAnchor="text" w:hAnchor="page" w:x="1135" w:y="285" w:anchorLock="1"/>
    </w:pPr>
    <w:rPr>
      <w:i/>
    </w:rPr>
  </w:style>
  <w:style w:type="paragraph" w:customStyle="1" w:styleId="MiniTOCTitle">
    <w:name w:val="MiniTOCTitle"/>
    <w:basedOn w:val="Heading4"/>
    <w:rsid w:val="0078312E"/>
    <w:pPr>
      <w:spacing w:before="240"/>
      <w:outlineLvl w:val="9"/>
    </w:pPr>
    <w:rPr>
      <w:noProof/>
      <w:sz w:val="24"/>
    </w:rPr>
  </w:style>
  <w:style w:type="paragraph" w:customStyle="1" w:styleId="MiniTOCItem">
    <w:name w:val="MiniTOCItem"/>
    <w:basedOn w:val="ListBullet"/>
    <w:rsid w:val="0078312E"/>
    <w:pPr>
      <w:numPr>
        <w:numId w:val="0"/>
      </w:numPr>
      <w:tabs>
        <w:tab w:val="right" w:leader="dot" w:pos="6521"/>
      </w:tabs>
      <w:spacing w:before="0" w:after="0"/>
    </w:pPr>
  </w:style>
  <w:style w:type="paragraph" w:customStyle="1" w:styleId="TOFTitle">
    <w:name w:val="TOFTitle"/>
    <w:basedOn w:val="TOCTitle"/>
    <w:rsid w:val="0078312E"/>
  </w:style>
  <w:style w:type="paragraph" w:styleId="TableofFigures">
    <w:name w:val="table of figures"/>
    <w:basedOn w:val="Normal"/>
    <w:next w:val="Normal"/>
    <w:semiHidden/>
    <w:rsid w:val="0078312E"/>
    <w:pPr>
      <w:tabs>
        <w:tab w:val="right" w:leader="dot" w:pos="9072"/>
      </w:tabs>
      <w:ind w:left="970" w:hanging="403"/>
    </w:pPr>
    <w:rPr>
      <w:rFonts w:ascii="Times New Roman" w:hAnsi="Times New Roman"/>
      <w:b/>
    </w:rPr>
  </w:style>
  <w:style w:type="paragraph" w:styleId="ListNumber">
    <w:name w:val="List Number"/>
    <w:basedOn w:val="List"/>
    <w:rsid w:val="0078312E"/>
    <w:pPr>
      <w:numPr>
        <w:numId w:val="14"/>
      </w:numPr>
      <w:tabs>
        <w:tab w:val="clear" w:pos="340"/>
      </w:tabs>
    </w:pPr>
  </w:style>
  <w:style w:type="character" w:customStyle="1" w:styleId="WingdingSymbols">
    <w:name w:val="Wingding Symbols"/>
    <w:rsid w:val="0078312E"/>
    <w:rPr>
      <w:rFonts w:ascii="Wingdings" w:hAnsi="Wingdings"/>
    </w:rPr>
  </w:style>
  <w:style w:type="paragraph" w:customStyle="1" w:styleId="TableHeading">
    <w:name w:val="Table Heading"/>
    <w:basedOn w:val="HeadingBase"/>
    <w:rsid w:val="0078312E"/>
    <w:pPr>
      <w:keepLines/>
      <w:pBdr>
        <w:bottom w:val="single" w:sz="6" w:space="1" w:color="918585"/>
      </w:pBdr>
      <w:spacing w:before="240"/>
    </w:pPr>
  </w:style>
  <w:style w:type="character" w:customStyle="1" w:styleId="HotSpot">
    <w:name w:val="HotSpot"/>
    <w:rsid w:val="0078312E"/>
    <w:rPr>
      <w:color w:val="0033CC"/>
      <w:u w:val="none"/>
    </w:rPr>
  </w:style>
  <w:style w:type="paragraph" w:customStyle="1" w:styleId="BodyTextRight">
    <w:name w:val="Body Text Right"/>
    <w:basedOn w:val="BodyText"/>
    <w:rsid w:val="0078312E"/>
    <w:pPr>
      <w:spacing w:before="0" w:after="0"/>
      <w:jc w:val="right"/>
    </w:pPr>
  </w:style>
  <w:style w:type="paragraph" w:styleId="Index3">
    <w:name w:val="index 3"/>
    <w:basedOn w:val="ListNumber2"/>
    <w:next w:val="Normal"/>
    <w:semiHidden/>
    <w:rsid w:val="0078312E"/>
    <w:pPr>
      <w:numPr>
        <w:numId w:val="0"/>
      </w:numPr>
      <w:tabs>
        <w:tab w:val="right" w:leader="dot" w:pos="4176"/>
      </w:tabs>
    </w:pPr>
  </w:style>
  <w:style w:type="paragraph" w:styleId="ListNumber2">
    <w:name w:val="List Number 2"/>
    <w:basedOn w:val="List2"/>
    <w:rsid w:val="0078312E"/>
    <w:pPr>
      <w:numPr>
        <w:numId w:val="9"/>
      </w:numPr>
      <w:tabs>
        <w:tab w:val="clear" w:pos="1060"/>
      </w:tabs>
    </w:pPr>
  </w:style>
  <w:style w:type="paragraph" w:customStyle="1" w:styleId="MarginNote">
    <w:name w:val="Margin Note"/>
    <w:basedOn w:val="BodyText"/>
    <w:rsid w:val="00783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12E"/>
    <w:rPr>
      <w:sz w:val="32"/>
    </w:rPr>
  </w:style>
  <w:style w:type="paragraph" w:customStyle="1" w:styleId="HeadingProcedure">
    <w:name w:val="Heading Procedure"/>
    <w:basedOn w:val="HeadingBase"/>
    <w:next w:val="Normal"/>
    <w:rsid w:val="0078312E"/>
    <w:pPr>
      <w:tabs>
        <w:tab w:val="left" w:pos="0"/>
      </w:tabs>
      <w:spacing w:before="120" w:after="60"/>
    </w:pPr>
    <w:rPr>
      <w:i/>
      <w:color w:val="918585"/>
      <w:sz w:val="22"/>
    </w:rPr>
  </w:style>
  <w:style w:type="paragraph" w:customStyle="1" w:styleId="TableBodyText">
    <w:name w:val="Table Body Text"/>
    <w:basedOn w:val="BodyText"/>
    <w:rsid w:val="0078312E"/>
    <w:pPr>
      <w:spacing w:before="60" w:after="60"/>
    </w:pPr>
  </w:style>
  <w:style w:type="paragraph" w:styleId="ListContinue">
    <w:name w:val="List Continue"/>
    <w:basedOn w:val="List"/>
    <w:rsid w:val="0078312E"/>
    <w:pPr>
      <w:ind w:firstLine="0"/>
    </w:pPr>
  </w:style>
  <w:style w:type="paragraph" w:customStyle="1" w:styleId="ListNote">
    <w:name w:val="List Note"/>
    <w:basedOn w:val="List"/>
    <w:rsid w:val="0078312E"/>
    <w:pPr>
      <w:pBdr>
        <w:top w:val="single" w:sz="6" w:space="2" w:color="918585"/>
        <w:bottom w:val="single" w:sz="6" w:space="2" w:color="918585"/>
      </w:pBdr>
      <w:tabs>
        <w:tab w:val="left" w:pos="1021"/>
      </w:tabs>
      <w:ind w:firstLine="0"/>
    </w:pPr>
  </w:style>
  <w:style w:type="paragraph" w:customStyle="1" w:styleId="Warning">
    <w:name w:val="Warning"/>
    <w:basedOn w:val="BodyText"/>
    <w:rsid w:val="0078312E"/>
    <w:pPr>
      <w:shd w:val="clear" w:color="auto" w:fill="D9D9D9"/>
      <w:tabs>
        <w:tab w:val="left" w:pos="992"/>
      </w:tabs>
      <w:ind w:left="119" w:right="119"/>
    </w:pPr>
    <w:rPr>
      <w:sz w:val="20"/>
    </w:rPr>
  </w:style>
  <w:style w:type="paragraph" w:customStyle="1" w:styleId="MarginIcons">
    <w:name w:val="Margin Icons"/>
    <w:basedOn w:val="BodyText"/>
    <w:rsid w:val="00783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12E"/>
    <w:rPr>
      <w:rFonts w:ascii="Courier New" w:hAnsi="Courier New"/>
    </w:rPr>
  </w:style>
  <w:style w:type="paragraph" w:customStyle="1" w:styleId="NoteBullet">
    <w:name w:val="Note Bullet"/>
    <w:basedOn w:val="Note"/>
    <w:rsid w:val="0078312E"/>
    <w:pPr>
      <w:tabs>
        <w:tab w:val="clear" w:pos="680"/>
      </w:tabs>
      <w:spacing w:before="60" w:after="60"/>
    </w:pPr>
  </w:style>
  <w:style w:type="paragraph" w:customStyle="1" w:styleId="SubHeading2">
    <w:name w:val="SubHeading2"/>
    <w:basedOn w:val="HeadingBase"/>
    <w:rsid w:val="0078312E"/>
    <w:pPr>
      <w:spacing w:before="240" w:after="60"/>
    </w:pPr>
    <w:rPr>
      <w:sz w:val="20"/>
    </w:rPr>
  </w:style>
  <w:style w:type="paragraph" w:customStyle="1" w:styleId="SubHeading1">
    <w:name w:val="SubHeading1"/>
    <w:basedOn w:val="HeadingBase"/>
    <w:rsid w:val="0078312E"/>
    <w:pPr>
      <w:spacing w:before="240" w:after="60"/>
    </w:pPr>
    <w:rPr>
      <w:color w:val="918585"/>
      <w:sz w:val="22"/>
    </w:rPr>
  </w:style>
  <w:style w:type="paragraph" w:customStyle="1" w:styleId="SideHeading">
    <w:name w:val="Side Heading"/>
    <w:basedOn w:val="HeadingBase"/>
    <w:rsid w:val="00783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12E"/>
    <w:pPr>
      <w:numPr>
        <w:numId w:val="10"/>
      </w:numPr>
    </w:pPr>
  </w:style>
  <w:style w:type="paragraph" w:styleId="PlainText">
    <w:name w:val="Plain Text"/>
    <w:basedOn w:val="Normal"/>
    <w:link w:val="PlainTextChar"/>
    <w:rsid w:val="0078312E"/>
    <w:rPr>
      <w:sz w:val="20"/>
    </w:rPr>
  </w:style>
  <w:style w:type="character" w:customStyle="1" w:styleId="PlainTextChar">
    <w:name w:val="Plain Text Char"/>
    <w:basedOn w:val="DefaultParagraphFont"/>
    <w:link w:val="PlainText"/>
    <w:rsid w:val="0078312E"/>
    <w:rPr>
      <w:rFonts w:ascii="Courier New" w:eastAsia="Times New Roman" w:hAnsi="Courier New" w:cs="Times New Roman"/>
      <w:sz w:val="20"/>
      <w:szCs w:val="20"/>
      <w:lang w:eastAsia="en-US"/>
    </w:rPr>
  </w:style>
  <w:style w:type="character" w:customStyle="1" w:styleId="MenuOption">
    <w:name w:val="Menu Option"/>
    <w:basedOn w:val="DefaultParagraphFont"/>
    <w:rsid w:val="0078312E"/>
    <w:rPr>
      <w:b/>
      <w:smallCaps/>
    </w:rPr>
  </w:style>
  <w:style w:type="paragraph" w:customStyle="1" w:styleId="TableListNumber">
    <w:name w:val="Table List Number"/>
    <w:basedOn w:val="ListNumber"/>
    <w:rsid w:val="0078312E"/>
    <w:pPr>
      <w:numPr>
        <w:numId w:val="0"/>
      </w:numPr>
    </w:pPr>
  </w:style>
  <w:style w:type="paragraph" w:styleId="TOC4">
    <w:name w:val="toc 4"/>
    <w:basedOn w:val="TOCBase"/>
    <w:next w:val="Normal"/>
    <w:semiHidden/>
    <w:rsid w:val="0078312E"/>
    <w:pPr>
      <w:tabs>
        <w:tab w:val="right" w:leader="dot" w:pos="9071"/>
      </w:tabs>
      <w:ind w:left="1701"/>
    </w:pPr>
  </w:style>
  <w:style w:type="paragraph" w:customStyle="1" w:styleId="ListAlpha">
    <w:name w:val="List Alpha"/>
    <w:basedOn w:val="List"/>
    <w:rsid w:val="0078312E"/>
    <w:pPr>
      <w:numPr>
        <w:numId w:val="8"/>
      </w:numPr>
    </w:pPr>
  </w:style>
  <w:style w:type="paragraph" w:customStyle="1" w:styleId="ListAlpha2">
    <w:name w:val="List Alpha 2"/>
    <w:basedOn w:val="List2"/>
    <w:rsid w:val="0078312E"/>
    <w:pPr>
      <w:numPr>
        <w:numId w:val="7"/>
      </w:numPr>
    </w:pPr>
  </w:style>
  <w:style w:type="paragraph" w:styleId="List2">
    <w:name w:val="List 2"/>
    <w:basedOn w:val="BodyText"/>
    <w:rsid w:val="0078312E"/>
    <w:pPr>
      <w:tabs>
        <w:tab w:val="left" w:pos="680"/>
      </w:tabs>
      <w:spacing w:before="60" w:after="60"/>
      <w:ind w:left="680" w:hanging="340"/>
    </w:pPr>
  </w:style>
  <w:style w:type="paragraph" w:styleId="List3">
    <w:name w:val="List 3"/>
    <w:basedOn w:val="BodyText"/>
    <w:rsid w:val="0078312E"/>
    <w:pPr>
      <w:tabs>
        <w:tab w:val="left" w:pos="1021"/>
      </w:tabs>
      <w:spacing w:before="60" w:after="60"/>
      <w:ind w:left="1020" w:hanging="340"/>
    </w:pPr>
  </w:style>
  <w:style w:type="paragraph" w:styleId="List4">
    <w:name w:val="List 4"/>
    <w:basedOn w:val="BodyText"/>
    <w:rsid w:val="0078312E"/>
    <w:pPr>
      <w:tabs>
        <w:tab w:val="left" w:pos="1361"/>
      </w:tabs>
      <w:spacing w:before="60" w:after="60"/>
      <w:ind w:left="1361" w:hanging="340"/>
    </w:pPr>
  </w:style>
  <w:style w:type="paragraph" w:styleId="List5">
    <w:name w:val="List 5"/>
    <w:basedOn w:val="BodyText"/>
    <w:rsid w:val="0078312E"/>
    <w:pPr>
      <w:tabs>
        <w:tab w:val="left" w:pos="1701"/>
      </w:tabs>
      <w:spacing w:before="60" w:after="60"/>
      <w:ind w:left="1701" w:hanging="340"/>
    </w:pPr>
  </w:style>
  <w:style w:type="paragraph" w:styleId="ListBullet3">
    <w:name w:val="List Bullet 3"/>
    <w:basedOn w:val="List3"/>
    <w:rsid w:val="0078312E"/>
    <w:pPr>
      <w:numPr>
        <w:numId w:val="13"/>
      </w:numPr>
      <w:tabs>
        <w:tab w:val="clear" w:pos="1021"/>
      </w:tabs>
      <w:ind w:left="1037" w:hanging="357"/>
    </w:pPr>
  </w:style>
  <w:style w:type="paragraph" w:styleId="ListBullet4">
    <w:name w:val="List Bullet 4"/>
    <w:basedOn w:val="List4"/>
    <w:rsid w:val="0078312E"/>
    <w:pPr>
      <w:numPr>
        <w:numId w:val="2"/>
      </w:numPr>
      <w:tabs>
        <w:tab w:val="clear" w:pos="1361"/>
      </w:tabs>
    </w:pPr>
  </w:style>
  <w:style w:type="paragraph" w:styleId="ListBullet5">
    <w:name w:val="List Bullet 5"/>
    <w:basedOn w:val="List5"/>
    <w:rsid w:val="0078312E"/>
    <w:pPr>
      <w:numPr>
        <w:numId w:val="3"/>
      </w:numPr>
    </w:pPr>
  </w:style>
  <w:style w:type="paragraph" w:styleId="ListContinue2">
    <w:name w:val="List Continue 2"/>
    <w:basedOn w:val="List2"/>
    <w:rsid w:val="0078312E"/>
    <w:pPr>
      <w:ind w:firstLine="0"/>
    </w:pPr>
  </w:style>
  <w:style w:type="paragraph" w:styleId="ListContinue3">
    <w:name w:val="List Continue 3"/>
    <w:basedOn w:val="List3"/>
    <w:rsid w:val="0078312E"/>
    <w:pPr>
      <w:ind w:left="1021" w:firstLine="0"/>
    </w:pPr>
  </w:style>
  <w:style w:type="paragraph" w:styleId="ListContinue4">
    <w:name w:val="List Continue 4"/>
    <w:basedOn w:val="List4"/>
    <w:rsid w:val="0078312E"/>
    <w:pPr>
      <w:ind w:firstLine="0"/>
    </w:pPr>
  </w:style>
  <w:style w:type="paragraph" w:styleId="ListContinue5">
    <w:name w:val="List Continue 5"/>
    <w:basedOn w:val="List5"/>
    <w:rsid w:val="0078312E"/>
    <w:pPr>
      <w:ind w:firstLine="0"/>
    </w:pPr>
  </w:style>
  <w:style w:type="paragraph" w:styleId="ListNumber3">
    <w:name w:val="List Number 3"/>
    <w:basedOn w:val="List3"/>
    <w:rsid w:val="0078312E"/>
    <w:pPr>
      <w:numPr>
        <w:numId w:val="4"/>
      </w:numPr>
    </w:pPr>
  </w:style>
  <w:style w:type="paragraph" w:styleId="ListNumber4">
    <w:name w:val="List Number 4"/>
    <w:basedOn w:val="List4"/>
    <w:rsid w:val="0078312E"/>
    <w:pPr>
      <w:numPr>
        <w:numId w:val="5"/>
      </w:numPr>
    </w:pPr>
  </w:style>
  <w:style w:type="paragraph" w:styleId="ListNumber5">
    <w:name w:val="List Number 5"/>
    <w:basedOn w:val="List5"/>
    <w:rsid w:val="0078312E"/>
    <w:pPr>
      <w:numPr>
        <w:numId w:val="6"/>
      </w:numPr>
    </w:pPr>
  </w:style>
  <w:style w:type="paragraph" w:styleId="BlockText">
    <w:name w:val="Block Text"/>
    <w:basedOn w:val="Normal"/>
    <w:rsid w:val="0078312E"/>
    <w:pPr>
      <w:spacing w:after="120"/>
      <w:ind w:left="1440" w:right="1440"/>
    </w:pPr>
  </w:style>
  <w:style w:type="character" w:customStyle="1" w:styleId="Subscript">
    <w:name w:val="Subscript"/>
    <w:basedOn w:val="DefaultParagraphFont"/>
    <w:rsid w:val="0078312E"/>
    <w:rPr>
      <w:sz w:val="16"/>
      <w:vertAlign w:val="subscript"/>
    </w:rPr>
  </w:style>
  <w:style w:type="character" w:customStyle="1" w:styleId="Superscript">
    <w:name w:val="Superscript"/>
    <w:basedOn w:val="DefaultParagraphFont"/>
    <w:rsid w:val="0078312E"/>
    <w:rPr>
      <w:sz w:val="16"/>
      <w:vertAlign w:val="superscript"/>
    </w:rPr>
  </w:style>
  <w:style w:type="character" w:customStyle="1" w:styleId="Symbols">
    <w:name w:val="Symbols"/>
    <w:basedOn w:val="DefaultParagraphFont"/>
    <w:rsid w:val="0078312E"/>
    <w:rPr>
      <w:rFonts w:ascii="Symbol" w:hAnsi="Symbol"/>
    </w:rPr>
  </w:style>
  <w:style w:type="character" w:customStyle="1" w:styleId="MenuOptions">
    <w:name w:val="Menu Options"/>
    <w:basedOn w:val="DefaultParagraphFont"/>
    <w:rsid w:val="0078312E"/>
    <w:rPr>
      <w:rFonts w:ascii="Arial Narrow" w:hAnsi="Arial Narrow"/>
      <w:smallCaps/>
    </w:rPr>
  </w:style>
  <w:style w:type="character" w:customStyle="1" w:styleId="Buttons">
    <w:name w:val="Buttons"/>
    <w:basedOn w:val="DefaultParagraphFont"/>
    <w:rsid w:val="0078312E"/>
    <w:rPr>
      <w:b/>
    </w:rPr>
  </w:style>
  <w:style w:type="character" w:customStyle="1" w:styleId="Underlined">
    <w:name w:val="Underlined"/>
    <w:basedOn w:val="DefaultParagraphFont"/>
    <w:rsid w:val="0078312E"/>
    <w:rPr>
      <w:u w:val="single"/>
    </w:rPr>
  </w:style>
  <w:style w:type="paragraph" w:customStyle="1" w:styleId="TableBodyTextRight">
    <w:name w:val="Table Body Text Right"/>
    <w:basedOn w:val="TableBodyText"/>
    <w:rsid w:val="0078312E"/>
    <w:pPr>
      <w:widowControl w:val="0"/>
      <w:autoSpaceDE w:val="0"/>
      <w:autoSpaceDN w:val="0"/>
      <w:adjustRightInd w:val="0"/>
      <w:jc w:val="right"/>
    </w:pPr>
    <w:rPr>
      <w:rFonts w:cs="Arial"/>
      <w:szCs w:val="18"/>
    </w:rPr>
  </w:style>
  <w:style w:type="paragraph" w:customStyle="1" w:styleId="CopyrightText">
    <w:name w:val="Copyright Text"/>
    <w:basedOn w:val="BodyText"/>
    <w:rsid w:val="0078312E"/>
    <w:rPr>
      <w:sz w:val="18"/>
    </w:rPr>
  </w:style>
  <w:style w:type="paragraph" w:customStyle="1" w:styleId="BodySmallRight">
    <w:name w:val="Body Small Right"/>
    <w:basedOn w:val="BodyTextRight"/>
    <w:rsid w:val="0078312E"/>
    <w:rPr>
      <w:sz w:val="18"/>
      <w:szCs w:val="18"/>
    </w:rPr>
  </w:style>
  <w:style w:type="paragraph" w:customStyle="1" w:styleId="MarginEdition">
    <w:name w:val="Margin Edition"/>
    <w:basedOn w:val="MarginNote"/>
    <w:rsid w:val="0078312E"/>
    <w:pPr>
      <w:spacing w:before="0" w:after="0"/>
    </w:pPr>
    <w:rPr>
      <w:rFonts w:ascii="Times New Roman" w:hAnsi="Times New Roman"/>
      <w:color w:val="999999"/>
    </w:rPr>
  </w:style>
  <w:style w:type="paragraph" w:customStyle="1" w:styleId="Spacer">
    <w:name w:val="Spacer"/>
    <w:basedOn w:val="Normal"/>
    <w:rsid w:val="0078312E"/>
    <w:rPr>
      <w:sz w:val="2"/>
      <w:szCs w:val="2"/>
    </w:rPr>
  </w:style>
  <w:style w:type="character" w:customStyle="1" w:styleId="Small">
    <w:name w:val="Small"/>
    <w:basedOn w:val="DefaultParagraphFont"/>
    <w:rsid w:val="0078312E"/>
    <w:rPr>
      <w:sz w:val="16"/>
    </w:rPr>
  </w:style>
  <w:style w:type="paragraph" w:customStyle="1" w:styleId="WideTable">
    <w:name w:val="Wide Table"/>
    <w:basedOn w:val="Normal"/>
    <w:rsid w:val="0078312E"/>
    <w:pPr>
      <w:ind w:left="-1418"/>
    </w:pPr>
    <w:rPr>
      <w:sz w:val="2"/>
      <w:szCs w:val="2"/>
    </w:rPr>
  </w:style>
  <w:style w:type="character" w:styleId="PageNumber">
    <w:name w:val="page number"/>
    <w:basedOn w:val="DefaultParagraphFont"/>
    <w:rsid w:val="0078312E"/>
  </w:style>
  <w:style w:type="paragraph" w:styleId="Quote">
    <w:name w:val="Quote"/>
    <w:basedOn w:val="Heading1"/>
    <w:link w:val="QuoteChar"/>
    <w:qFormat/>
    <w:rsid w:val="0078312E"/>
    <w:rPr>
      <w:b w:val="0"/>
      <w:sz w:val="72"/>
      <w:szCs w:val="72"/>
      <w:lang w:val="en-NZ"/>
    </w:rPr>
  </w:style>
  <w:style w:type="character" w:customStyle="1" w:styleId="QuoteChar">
    <w:name w:val="Quote Char"/>
    <w:basedOn w:val="DefaultParagraphFont"/>
    <w:link w:val="Quote"/>
    <w:rsid w:val="00783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12E"/>
    <w:pPr>
      <w:pageBreakBefore/>
    </w:pPr>
  </w:style>
  <w:style w:type="paragraph" w:customStyle="1" w:styleId="Border">
    <w:name w:val="Border"/>
    <w:basedOn w:val="Normal"/>
    <w:qFormat/>
    <w:rsid w:val="00783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12E"/>
    <w:rPr>
      <w:b/>
      <w:bCs/>
      <w:i/>
      <w:iCs/>
      <w:color w:val="auto"/>
    </w:rPr>
  </w:style>
  <w:style w:type="paragraph" w:styleId="IntenseQuote">
    <w:name w:val="Intense Quote"/>
    <w:basedOn w:val="Normal"/>
    <w:next w:val="Normal"/>
    <w:link w:val="IntenseQuoteChar"/>
    <w:uiPriority w:val="30"/>
    <w:qFormat/>
    <w:rsid w:val="00783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12E"/>
    <w:rPr>
      <w:smallCaps/>
      <w:color w:val="auto"/>
      <w:u w:val="single"/>
    </w:rPr>
  </w:style>
  <w:style w:type="character" w:styleId="IntenseReference">
    <w:name w:val="Intense Reference"/>
    <w:basedOn w:val="DefaultParagraphFont"/>
    <w:uiPriority w:val="32"/>
    <w:qFormat/>
    <w:rsid w:val="0078312E"/>
    <w:rPr>
      <w:b/>
      <w:bCs/>
      <w:smallCaps/>
      <w:color w:val="auto"/>
      <w:spacing w:val="5"/>
      <w:u w:val="single"/>
    </w:rPr>
  </w:style>
  <w:style w:type="paragraph" w:customStyle="1" w:styleId="2ColumnHeading">
    <w:name w:val="2Column Heading"/>
    <w:basedOn w:val="BodyText"/>
    <w:qFormat/>
    <w:rsid w:val="0078312E"/>
    <w:pPr>
      <w:spacing w:after="60"/>
      <w:ind w:left="-2268"/>
    </w:pPr>
    <w:rPr>
      <w:b/>
    </w:rPr>
  </w:style>
  <w:style w:type="paragraph" w:customStyle="1" w:styleId="Heading1TOC">
    <w:name w:val="Heading1 TOC"/>
    <w:basedOn w:val="Normal"/>
    <w:qFormat/>
    <w:rsid w:val="0078312E"/>
    <w:pPr>
      <w:spacing w:before="240" w:after="120"/>
    </w:pPr>
    <w:rPr>
      <w:rFonts w:ascii="Times New Roman" w:hAnsi="Times New Roman"/>
      <w:b/>
      <w:sz w:val="32"/>
    </w:rPr>
  </w:style>
  <w:style w:type="paragraph" w:customStyle="1" w:styleId="Heading2TOC">
    <w:name w:val="Heading2 TOC"/>
    <w:basedOn w:val="Normal"/>
    <w:qFormat/>
    <w:rsid w:val="0078312E"/>
    <w:pPr>
      <w:spacing w:before="240" w:after="60"/>
    </w:pPr>
    <w:rPr>
      <w:rFonts w:ascii="Times New Roman" w:hAnsi="Times New Roman"/>
      <w:b/>
      <w:sz w:val="28"/>
    </w:rPr>
  </w:style>
  <w:style w:type="character" w:customStyle="1" w:styleId="Underline">
    <w:name w:val="Underline"/>
    <w:basedOn w:val="DefaultParagraphFont"/>
    <w:qFormat/>
    <w:rsid w:val="0078312E"/>
    <w:rPr>
      <w:u w:val="single"/>
    </w:rPr>
  </w:style>
  <w:style w:type="character" w:customStyle="1" w:styleId="BoldandItalics">
    <w:name w:val="Bold and Italics"/>
    <w:qFormat/>
    <w:rsid w:val="0078312E"/>
    <w:rPr>
      <w:b/>
      <w:i/>
      <w:u w:val="none"/>
    </w:rPr>
  </w:style>
  <w:style w:type="paragraph" w:styleId="BalloonText">
    <w:name w:val="Balloon Text"/>
    <w:basedOn w:val="Normal"/>
    <w:link w:val="BalloonTextChar"/>
    <w:rsid w:val="0078312E"/>
    <w:rPr>
      <w:rFonts w:ascii="Tahoma" w:hAnsi="Tahoma" w:cs="Tahoma"/>
      <w:sz w:val="16"/>
      <w:szCs w:val="16"/>
    </w:rPr>
  </w:style>
  <w:style w:type="character" w:customStyle="1" w:styleId="BalloonTextChar">
    <w:name w:val="Balloon Text Char"/>
    <w:basedOn w:val="DefaultParagraphFont"/>
    <w:link w:val="BalloonText"/>
    <w:rsid w:val="00783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12E"/>
    <w:rPr>
      <w:b/>
      <w:color w:val="660033"/>
      <w:spacing w:val="0"/>
    </w:rPr>
  </w:style>
  <w:style w:type="paragraph" w:customStyle="1" w:styleId="Nameditemlist">
    <w:name w:val="Named item list"/>
    <w:basedOn w:val="BodyText"/>
    <w:qFormat/>
    <w:rsid w:val="0078312E"/>
    <w:pPr>
      <w:tabs>
        <w:tab w:val="left" w:pos="2835"/>
      </w:tabs>
      <w:ind w:left="2835" w:hanging="2835"/>
    </w:pPr>
  </w:style>
  <w:style w:type="paragraph" w:customStyle="1" w:styleId="BodyTextnopadding">
    <w:name w:val="Body Text no padding"/>
    <w:basedOn w:val="BodyText"/>
    <w:qFormat/>
    <w:rsid w:val="0078312E"/>
    <w:pPr>
      <w:spacing w:before="0" w:after="0"/>
    </w:pPr>
  </w:style>
  <w:style w:type="paragraph" w:customStyle="1" w:styleId="BodyTextBold">
    <w:name w:val="Body Text Bold"/>
    <w:basedOn w:val="BodyText"/>
    <w:qFormat/>
    <w:rsid w:val="0078312E"/>
    <w:rPr>
      <w:b/>
    </w:rPr>
  </w:style>
  <w:style w:type="character" w:styleId="Hyperlink">
    <w:name w:val="Hyperlink"/>
    <w:basedOn w:val="DefaultParagraphFont"/>
    <w:uiPriority w:val="99"/>
    <w:unhideWhenUsed/>
    <w:rsid w:val="00E77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7277</Characters>
  <Application>Microsoft Office Word</Application>
  <DocSecurity>0</DocSecurity>
  <Lines>234</Lines>
  <Paragraphs>142</Paragraphs>
  <ScaleCrop>false</ScaleCrop>
  <Company>Author-it Software Corporation Ltd.</Company>
  <LinksUpToDate>false</LinksUpToDate>
  <CharactersWithSpaces>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TLIX0010X Enable traceability in supply chains</dc:title>
  <dc:subject>Approved</dc:subject>
  <dc:creator>Industry Skills Australia</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