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6D52" w:rsidP="00656D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TLIX0010X Enable traceability in supply chains</w:t>
      </w:r>
      <w:r>
        <w:fldChar w:fldCharType="end"/>
      </w:r>
    </w:p>
    <w:p w:rsidR="00656D52" w:rsidP="00656D52">
      <w:pPr>
        <w:pStyle w:val="Version"/>
        <w:sectPr w:rsidSect="00A72B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72B90" w:rsidP="00A72B90">
      <w:pPr>
        <w:pStyle w:val="SuperHeading"/>
      </w:pPr>
      <w:r w:rsidRPr="00A72B90">
        <w:t>Assessment Requirements for TLIX0010X Enable traceability in supply chains</w:t>
      </w:r>
    </w:p>
    <w:p w:rsidR="00000000" w:rsidRPr="00A72B90" w:rsidP="00A72B90">
      <w:pPr>
        <w:pStyle w:val="Heading1"/>
      </w:pPr>
      <w:bookmarkStart w:id="1" w:name="O_1066282"/>
      <w:bookmarkEnd w:id="1"/>
      <w:r w:rsidRPr="00A72B9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2B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B90" w:rsidP="00A72B90">
            <w:pPr>
              <w:pStyle w:val="BodyText"/>
            </w:pPr>
            <w:r w:rsidRPr="00A72B90">
              <w:rPr>
                <w:rStyle w:val="SpecialBold"/>
              </w:rPr>
              <w:t xml:space="preserve">Release 1. </w:t>
            </w:r>
            <w:r w:rsidRPr="00A72B90">
              <w:t>This is the first release of this unit of competency in the TLI Transport and Logistics Training Package.</w:t>
            </w:r>
          </w:p>
        </w:tc>
      </w:tr>
    </w:tbl>
    <w:p w:rsidR="00000000" w:rsidRPr="00A72B90" w:rsidP="00A72B90">
      <w:pPr>
        <w:pStyle w:val="NoPaddingFontSize1"/>
      </w:pPr>
    </w:p>
    <w:p w:rsidR="00000000" w:rsidRPr="00A72B90" w:rsidP="00A72B90">
      <w:pPr>
        <w:pStyle w:val="AllowPageBreak"/>
      </w:pPr>
    </w:p>
    <w:p w:rsidR="00000000" w:rsidRPr="00A72B90" w:rsidP="00A72B90">
      <w:pPr>
        <w:pStyle w:val="Heading1"/>
      </w:pPr>
      <w:bookmarkStart w:id="2" w:name="O_1066283"/>
      <w:bookmarkEnd w:id="2"/>
      <w:r w:rsidRPr="00A72B9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2B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B90">
            <w:pPr>
              <w:pStyle w:val="BodyText"/>
              <w:rPr>
                <w:lang w:val="en-NZ"/>
              </w:rPr>
            </w:pPr>
            <w:r w:rsidRPr="00A72B90">
              <w:t>Evidence required to demonstrate competence in this unit must be relevant to and satisfy all the requirements of the elements and performance criteria on at least one occasion and includes</w:t>
            </w:r>
          </w:p>
        </w:tc>
      </w:tr>
      <w:tr w:rsidTr="00A72B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B90" w:rsidP="00A72B90">
            <w:pPr>
              <w:pStyle w:val="ListBullet"/>
            </w:pPr>
            <w:r w:rsidRPr="00A72B90">
              <w:t>analysing and reporting on traceability data</w:t>
            </w:r>
            <w:r w:rsidRPr="00A72B90">
              <w:t xml:space="preserve"> </w:t>
            </w:r>
          </w:p>
          <w:p w:rsidR="00000000" w:rsidRPr="00A72B90" w:rsidP="00A72B90">
            <w:pPr>
              <w:pStyle w:val="ListBullet"/>
            </w:pPr>
            <w:r w:rsidRPr="00A72B90">
              <w:t xml:space="preserve">collecting and analysing information related to supply chain traceability  </w:t>
            </w:r>
          </w:p>
          <w:p w:rsidR="00000000" w:rsidRPr="00A72B90" w:rsidP="00A72B90">
            <w:pPr>
              <w:pStyle w:val="ListBullet"/>
            </w:pPr>
            <w:r w:rsidRPr="00A72B90">
              <w:t>communicating with supply chain stakeholders</w:t>
            </w:r>
          </w:p>
          <w:p w:rsidR="00000000" w:rsidRPr="00A72B90" w:rsidP="00A72B90">
            <w:pPr>
              <w:pStyle w:val="ListBullet"/>
            </w:pPr>
            <w:r w:rsidRPr="00A72B90">
              <w:t>determining legislative obligations including chain of custody and chain of responsibility</w:t>
            </w:r>
          </w:p>
          <w:p w:rsidR="00000000" w:rsidRPr="00A72B90" w:rsidP="00A72B90">
            <w:pPr>
              <w:pStyle w:val="ListBullet"/>
            </w:pPr>
            <w:r w:rsidRPr="00A72B90">
              <w:t xml:space="preserve">developing and applying traceability data </w:t>
            </w:r>
            <w:r w:rsidRPr="00A72B90">
              <w:t>collection and documentation protocols</w:t>
            </w:r>
          </w:p>
          <w:p w:rsidR="00000000" w:rsidRPr="00A72B90" w:rsidP="00A72B90">
            <w:pPr>
              <w:pStyle w:val="ListBullet"/>
            </w:pPr>
            <w:r w:rsidRPr="00A72B90">
              <w:t>developing and implementing policies, procedures and processes to support supply chain traceability</w:t>
            </w:r>
          </w:p>
          <w:p w:rsidR="00000000" w:rsidRPr="00A72B90" w:rsidP="00A72B90">
            <w:pPr>
              <w:pStyle w:val="ListBullet"/>
            </w:pPr>
            <w:r w:rsidRPr="00A72B90">
              <w:t xml:space="preserve">identifying and remediating product and service data inconsistencies </w:t>
            </w:r>
          </w:p>
          <w:p w:rsidR="00000000" w:rsidRPr="00A72B90" w:rsidP="00A72B90">
            <w:pPr>
              <w:pStyle w:val="ListBullet"/>
            </w:pPr>
            <w:r w:rsidRPr="00A72B90">
              <w:t>identifying high and low traceability risk points in the supply chain</w:t>
            </w:r>
          </w:p>
          <w:p w:rsidR="00000000" w:rsidRPr="00A72B90" w:rsidP="00A72B90">
            <w:pPr>
              <w:pStyle w:val="ListBullet"/>
            </w:pPr>
            <w:r w:rsidRPr="00A72B90">
              <w:t xml:space="preserve">identifying product and service movements in the supply chain including vulnerabilities </w:t>
            </w:r>
          </w:p>
          <w:p w:rsidR="00000000" w:rsidRPr="00A72B90" w:rsidP="00A72B90">
            <w:pPr>
              <w:pStyle w:val="ListBullet"/>
            </w:pPr>
            <w:r w:rsidRPr="00A72B90">
              <w:t xml:space="preserve">implementing and reviewing traceability strategy including Key Performance Indicators (KPIs) </w:t>
            </w:r>
          </w:p>
          <w:p w:rsidR="00000000" w:rsidRPr="00A72B90" w:rsidP="00A72B90">
            <w:pPr>
              <w:pStyle w:val="ListBullet"/>
            </w:pPr>
            <w:r w:rsidRPr="00A72B90">
              <w:t>mon</w:t>
            </w:r>
            <w:r w:rsidRPr="00A72B90">
              <w:t>itoring corrective actions and strategies including product and material recalls</w:t>
            </w:r>
          </w:p>
          <w:p w:rsidR="00000000" w:rsidRPr="00A72B90" w:rsidP="00A72B90">
            <w:pPr>
              <w:pStyle w:val="ListBullet"/>
            </w:pPr>
            <w:r w:rsidRPr="00A72B90">
              <w:t xml:space="preserve">reviewing and reporting on supply chain traceability strategy </w:t>
            </w:r>
          </w:p>
          <w:p w:rsidR="00000000" w:rsidRPr="00A72B90" w:rsidP="00A72B90">
            <w:pPr>
              <w:pStyle w:val="ListBullet"/>
            </w:pPr>
            <w:r w:rsidRPr="00A72B90">
              <w:t>undertaking risk mitigation for traceability data systems.</w:t>
            </w:r>
          </w:p>
        </w:tc>
      </w:tr>
    </w:tbl>
    <w:p w:rsidR="00000000" w:rsidRPr="00A72B90" w:rsidP="00A72B90">
      <w:pPr>
        <w:pStyle w:val="NoPaddingFontSize1"/>
      </w:pPr>
    </w:p>
    <w:p w:rsidR="00000000" w:rsidRPr="00A72B90" w:rsidP="00A72B90">
      <w:pPr>
        <w:pStyle w:val="AllowPageBreak"/>
      </w:pPr>
    </w:p>
    <w:p w:rsidR="00000000" w:rsidRPr="00A72B90" w:rsidP="00A72B90">
      <w:pPr>
        <w:pStyle w:val="Heading1"/>
      </w:pPr>
      <w:bookmarkStart w:id="3" w:name="O_1066284"/>
      <w:bookmarkEnd w:id="3"/>
      <w:r w:rsidRPr="00A72B9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2B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B90">
            <w:pPr>
              <w:pStyle w:val="BodyText"/>
              <w:rPr>
                <w:lang w:val="en-NZ"/>
              </w:rPr>
            </w:pPr>
            <w:r w:rsidRPr="00A72B90">
              <w:t>Evidence requ</w:t>
            </w:r>
            <w:r w:rsidRPr="00A72B90">
              <w:t>ired to demonstrate competence in this unit must be relevant to and satisfy all the requirements of the elements and performance criteria and includes knowledge of</w:t>
            </w:r>
          </w:p>
        </w:tc>
      </w:tr>
      <w:tr w:rsidTr="00A72B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B90" w:rsidP="00A72B90">
            <w:pPr>
              <w:pStyle w:val="ListBullet"/>
            </w:pPr>
            <w:r w:rsidRPr="00A72B90">
              <w:tab/>
              <w:t>circular economy principles in relation to addressing sustainable practices in supply cha</w:t>
            </w:r>
            <w:r w:rsidRPr="00A72B90">
              <w:t xml:space="preserve">ins </w:t>
            </w:r>
          </w:p>
          <w:p w:rsidR="00000000" w:rsidRPr="00A72B90" w:rsidP="00A72B90">
            <w:pPr>
              <w:pStyle w:val="ListBullet"/>
            </w:pPr>
            <w:r w:rsidRPr="00A72B90">
              <w:t>communication methods and tools</w:t>
            </w:r>
          </w:p>
          <w:p w:rsidR="00000000" w:rsidRPr="00A72B90" w:rsidP="00A72B90">
            <w:pPr>
              <w:pStyle w:val="ListBullet"/>
            </w:pPr>
            <w:r w:rsidRPr="00A72B90">
              <w:t>corrective actions and strategies including product and material recalls</w:t>
            </w:r>
          </w:p>
          <w:p w:rsidR="00000000" w:rsidRPr="00A72B90" w:rsidP="00A72B90">
            <w:pPr>
              <w:pStyle w:val="ListBullet"/>
            </w:pPr>
            <w:r w:rsidRPr="00A72B90">
              <w:t xml:space="preserve">data analysis techniques </w:t>
            </w:r>
          </w:p>
          <w:p w:rsidR="00000000" w:rsidRPr="00A72B90" w:rsidP="00A72B90">
            <w:pPr>
              <w:pStyle w:val="ListBullet"/>
            </w:pPr>
            <w:r w:rsidRPr="00A72B90">
              <w:tab/>
              <w:t>high and low risk points in the supply chain</w:t>
            </w:r>
          </w:p>
          <w:p w:rsidR="00000000" w:rsidRPr="00A72B90" w:rsidP="00A72B90">
            <w:pPr>
              <w:pStyle w:val="ListBullet"/>
            </w:pPr>
            <w:r w:rsidRPr="00A72B90">
              <w:t xml:space="preserve">information and data collection </w:t>
            </w:r>
          </w:p>
          <w:p w:rsidR="00000000" w:rsidRPr="00A72B90" w:rsidP="00A72B90">
            <w:pPr>
              <w:pStyle w:val="ListBullet"/>
            </w:pPr>
            <w:r w:rsidRPr="00A72B90">
              <w:t>legislative obligations including chain of custody and chain of responsibility</w:t>
            </w:r>
          </w:p>
          <w:p w:rsidR="00000000" w:rsidRPr="00A72B90" w:rsidP="00A72B90">
            <w:pPr>
              <w:pStyle w:val="ListBullet"/>
            </w:pPr>
            <w:r w:rsidRPr="00A72B90">
              <w:t>policies and procedures that support traceability</w:t>
            </w:r>
          </w:p>
          <w:p w:rsidR="00000000" w:rsidRPr="00A72B90" w:rsidP="00A72B90">
            <w:pPr>
              <w:pStyle w:val="ListBullet"/>
            </w:pPr>
            <w:r w:rsidRPr="00A72B90">
              <w:t>product and service movements in supply chains including vulnerabilities</w:t>
            </w:r>
          </w:p>
          <w:p w:rsidR="00000000" w:rsidRPr="00A72B90" w:rsidP="00A72B90">
            <w:pPr>
              <w:pStyle w:val="ListBullet"/>
            </w:pPr>
            <w:r w:rsidRPr="00A72B90">
              <w:t>recognition and remediation of product and services da</w:t>
            </w:r>
            <w:r w:rsidRPr="00A72B90">
              <w:t>ta inconsistencies</w:t>
            </w:r>
          </w:p>
          <w:p w:rsidR="00000000" w:rsidRPr="00A72B90" w:rsidP="00A72B90">
            <w:pPr>
              <w:pStyle w:val="ListBullet"/>
            </w:pPr>
            <w:r w:rsidRPr="00A72B90">
              <w:t xml:space="preserve">remediation of supply chain issues and problems identified through traceability data </w:t>
            </w:r>
          </w:p>
          <w:p w:rsidR="00000000" w:rsidRPr="00A72B90" w:rsidP="00A72B90">
            <w:pPr>
              <w:pStyle w:val="ListBullet"/>
            </w:pPr>
            <w:r w:rsidRPr="00A72B90">
              <w:t xml:space="preserve">review and report preparation </w:t>
            </w:r>
          </w:p>
          <w:p w:rsidR="00000000" w:rsidRPr="00A72B90" w:rsidP="00A72B90">
            <w:pPr>
              <w:pStyle w:val="ListBullet"/>
            </w:pPr>
            <w:r w:rsidRPr="00A72B90">
              <w:t xml:space="preserve">risk mitigation </w:t>
            </w:r>
          </w:p>
          <w:p w:rsidR="00000000" w:rsidRPr="00A72B90" w:rsidP="00A72B90">
            <w:pPr>
              <w:pStyle w:val="ListBullet"/>
            </w:pPr>
            <w:r w:rsidRPr="00A72B90">
              <w:t>supply chain stakeholders</w:t>
            </w:r>
          </w:p>
          <w:p w:rsidR="00000000" w:rsidRPr="00A72B90" w:rsidP="00A72B90">
            <w:pPr>
              <w:pStyle w:val="ListBullet"/>
            </w:pPr>
            <w:r w:rsidRPr="00A72B90">
              <w:tab/>
              <w:t>traceability standards</w:t>
            </w:r>
          </w:p>
          <w:p w:rsidR="00000000" w:rsidRPr="00A72B90" w:rsidP="00A72B90">
            <w:pPr>
              <w:pStyle w:val="ListBullet"/>
            </w:pPr>
            <w:r w:rsidRPr="00A72B90">
              <w:t>traceability strategy and processes including Key Per</w:t>
            </w:r>
            <w:r w:rsidRPr="00A72B90">
              <w:t xml:space="preserve">formance Indicators (KPIs). </w:t>
            </w:r>
          </w:p>
        </w:tc>
      </w:tr>
    </w:tbl>
    <w:p w:rsidR="00000000" w:rsidRPr="00A72B90" w:rsidP="00A72B90">
      <w:pPr>
        <w:pStyle w:val="NoPaddingFontSize1"/>
      </w:pPr>
    </w:p>
    <w:p w:rsidR="00000000" w:rsidRPr="00A72B90" w:rsidP="00A72B90">
      <w:pPr>
        <w:pStyle w:val="AllowPageBreak"/>
      </w:pPr>
    </w:p>
    <w:p w:rsidR="00000000" w:rsidRPr="00A72B90" w:rsidP="00A72B90">
      <w:pPr>
        <w:pStyle w:val="Heading1"/>
      </w:pPr>
      <w:bookmarkStart w:id="4" w:name="O_1066285"/>
      <w:bookmarkEnd w:id="4"/>
      <w:r w:rsidRPr="00A72B9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2B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B90" w:rsidP="00A72B90">
            <w:pPr>
              <w:pStyle w:val="BodyText"/>
            </w:pPr>
            <w:r w:rsidRPr="00A72B90">
              <w:t xml:space="preserve">Assessors must hold credentials specified within the Standards for Registered Training Organisations current at the time of assessment. </w:t>
            </w:r>
          </w:p>
          <w:p w:rsidR="00000000" w:rsidRPr="00A72B90" w:rsidP="00A72B90">
            <w:pPr>
              <w:pStyle w:val="BodyText"/>
            </w:pPr>
            <w:r w:rsidRPr="00A72B90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A72B90" w:rsidP="00A72B90">
            <w:pPr>
              <w:pStyle w:val="BodyText"/>
            </w:pPr>
            <w:r w:rsidRPr="00A72B90">
              <w:t>Assessment must occur in workplace operational</w:t>
            </w:r>
            <w:r w:rsidRPr="00A72B90">
              <w:t xml:space="preserve"> situations where it is appropriate to do so. Where this is not appropriate, assessment must occur in simulated workplace operational situations that replicate workplace conditions.</w:t>
            </w:r>
          </w:p>
          <w:p w:rsidR="00000000" w:rsidRPr="00A72B90" w:rsidP="00A72B90">
            <w:pPr>
              <w:pStyle w:val="BodyText"/>
            </w:pPr>
            <w:r w:rsidRPr="00A72B90">
              <w:t>Assessment processes and techniques must be appropriate to the language, l</w:t>
            </w:r>
            <w:r w:rsidRPr="00A72B90">
              <w:t>iteracy and numeracy requirements of the work being performed and the needs of the candidate.</w:t>
            </w:r>
          </w:p>
          <w:p w:rsidR="00000000" w:rsidRPr="00A72B90" w:rsidP="00A72B90">
            <w:pPr>
              <w:pStyle w:val="BodyText"/>
            </w:pPr>
            <w:r w:rsidRPr="00A72B90">
              <w:t>Resources for assessment must include access to a range of</w:t>
            </w:r>
          </w:p>
          <w:p w:rsidR="00000000" w:rsidRPr="00A72B90" w:rsidP="00A72B90">
            <w:pPr>
              <w:pStyle w:val="ListBullet"/>
            </w:pPr>
            <w:r w:rsidRPr="00A72B90">
              <w:t>exercises, case studies or other simulations</w:t>
            </w:r>
          </w:p>
          <w:p w:rsidR="00000000" w:rsidRPr="00A72B90" w:rsidP="00A72B90">
            <w:pPr>
              <w:pStyle w:val="ListBullet"/>
            </w:pPr>
            <w:r w:rsidRPr="00A72B90">
              <w:t>materials and tools including supply chain digital equipm</w:t>
            </w:r>
            <w:r w:rsidRPr="00A72B90">
              <w:t>ent used in industry</w:t>
            </w:r>
          </w:p>
          <w:p w:rsidR="00000000" w:rsidRPr="00A72B90" w:rsidP="00A72B90">
            <w:pPr>
              <w:pStyle w:val="ListBullet"/>
            </w:pPr>
            <w:r w:rsidRPr="00A72B90">
              <w:t>documentation including organisational policies and procedures, industry standards, regulations, codes of practice, operational manuals and equipment specifications.</w:t>
            </w:r>
            <w:r w:rsidRPr="00A72B90">
              <w:tab/>
            </w:r>
          </w:p>
        </w:tc>
      </w:tr>
    </w:tbl>
    <w:p w:rsidR="00000000" w:rsidRPr="00A72B90" w:rsidP="00A72B90">
      <w:pPr>
        <w:pStyle w:val="NoPaddingFontSize1"/>
      </w:pPr>
    </w:p>
    <w:p w:rsidR="00000000" w:rsidRPr="00A72B90" w:rsidP="00A72B90">
      <w:pPr>
        <w:pStyle w:val="AllowPageBreak"/>
      </w:pPr>
    </w:p>
    <w:p w:rsidR="00000000" w:rsidRPr="00A72B90" w:rsidP="00A72B90">
      <w:pPr>
        <w:pStyle w:val="Heading1"/>
      </w:pPr>
      <w:bookmarkStart w:id="5" w:name="O_1066288"/>
      <w:bookmarkEnd w:id="5"/>
      <w:r w:rsidRPr="00A72B90">
        <w:t>Links</w:t>
      </w:r>
    </w:p>
    <w:p w:rsidR="00000000" w:rsidRPr="00A72B90" w:rsidP="00656D52">
      <w:pPr>
        <w:pStyle w:val="BodyText"/>
      </w:pPr>
      <w:r w:rsidRPr="00A72B90">
        <w:t>Companion Volume Implementation Guides ar</w:t>
      </w:r>
      <w:r w:rsidRPr="00A72B90">
        <w:t xml:space="preserve">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E6E17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A72B90" w:rsidP="00A72B90"/>
    <w:sectPr w:rsidSect="00A72B9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B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B90" w:rsidRPr="00656D52" w:rsidP="00656D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B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D52" w:rsidP="00A72B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56D52" w:rsidP="00A72B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656D52" w:rsidP="00A72B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B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D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2B90" w:rsidRPr="00656D52" w:rsidP="00656D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B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D52" w:rsidRPr="002D2AF8" w:rsidP="00A72B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TLIX0010X Enable traceability in supply chains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656D52" w:rsidP="00A72B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2FCE2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4583D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2B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2B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2B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2B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2B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2B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2B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2B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2B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2B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2B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2B90"/>
  </w:style>
  <w:style w:type="character" w:customStyle="1" w:styleId="Heading1Char">
    <w:name w:val="Heading 1 Char"/>
    <w:basedOn w:val="DefaultParagraphFont"/>
    <w:link w:val="Heading1"/>
    <w:rsid w:val="00A72B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2B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2B9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72B9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72B90"/>
    <w:rPr>
      <w:b/>
      <w:spacing w:val="0"/>
    </w:rPr>
  </w:style>
  <w:style w:type="paragraph" w:customStyle="1" w:styleId="SuperHeading">
    <w:name w:val="SuperHeading"/>
    <w:basedOn w:val="Normal"/>
    <w:rsid w:val="00A72B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2B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72B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2B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2B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2B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2B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2B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2B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2B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2B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2B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2B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2B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2B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2B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2B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2B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2B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2B9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2B9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72B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72B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2B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2B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72B9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72B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2B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2B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2B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2B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2B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2B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2B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2B9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72B90"/>
    <w:rPr>
      <w:i/>
    </w:rPr>
  </w:style>
  <w:style w:type="paragraph" w:styleId="Caption">
    <w:name w:val="caption"/>
    <w:basedOn w:val="BodyText"/>
    <w:next w:val="Normal"/>
    <w:qFormat/>
    <w:rsid w:val="00A72B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2B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2B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2B90"/>
  </w:style>
  <w:style w:type="paragraph" w:styleId="TableofFigures">
    <w:name w:val="table of figures"/>
    <w:basedOn w:val="Normal"/>
    <w:next w:val="Normal"/>
    <w:semiHidden/>
    <w:rsid w:val="00A72B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2B9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72B90"/>
    <w:rPr>
      <w:rFonts w:ascii="Wingdings" w:hAnsi="Wingdings"/>
    </w:rPr>
  </w:style>
  <w:style w:type="paragraph" w:customStyle="1" w:styleId="TableHeading">
    <w:name w:val="Table Heading"/>
    <w:basedOn w:val="HeadingBase"/>
    <w:rsid w:val="00A72B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2B90"/>
    <w:rPr>
      <w:color w:val="0033CC"/>
      <w:u w:val="none"/>
    </w:rPr>
  </w:style>
  <w:style w:type="paragraph" w:customStyle="1" w:styleId="BodyTextRight">
    <w:name w:val="Body Text Right"/>
    <w:basedOn w:val="BodyText"/>
    <w:rsid w:val="00A72B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2B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2B9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2B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2B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2B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2B90"/>
    <w:rPr>
      <w:sz w:val="32"/>
    </w:rPr>
  </w:style>
  <w:style w:type="paragraph" w:customStyle="1" w:styleId="HeadingProcedure">
    <w:name w:val="Heading Procedure"/>
    <w:basedOn w:val="HeadingBase"/>
    <w:next w:val="Normal"/>
    <w:rsid w:val="00A72B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2B90"/>
    <w:pPr>
      <w:spacing w:before="60" w:after="60"/>
    </w:pPr>
  </w:style>
  <w:style w:type="paragraph" w:styleId="ListContinue">
    <w:name w:val="List Continue"/>
    <w:basedOn w:val="List"/>
    <w:rsid w:val="00A72B90"/>
    <w:pPr>
      <w:ind w:firstLine="0"/>
    </w:pPr>
  </w:style>
  <w:style w:type="paragraph" w:customStyle="1" w:styleId="ListNote">
    <w:name w:val="List Note"/>
    <w:basedOn w:val="List"/>
    <w:rsid w:val="00A72B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2B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2B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2B90"/>
    <w:rPr>
      <w:rFonts w:ascii="Courier New" w:hAnsi="Courier New"/>
    </w:rPr>
  </w:style>
  <w:style w:type="paragraph" w:customStyle="1" w:styleId="NoteBullet">
    <w:name w:val="Note Bullet"/>
    <w:basedOn w:val="Note"/>
    <w:rsid w:val="00A72B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2B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2B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2B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2B9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72B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2B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2B90"/>
    <w:rPr>
      <w:b/>
      <w:smallCaps/>
    </w:rPr>
  </w:style>
  <w:style w:type="paragraph" w:customStyle="1" w:styleId="TableListNumber">
    <w:name w:val="Table List Number"/>
    <w:basedOn w:val="ListNumber"/>
    <w:rsid w:val="00A72B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2B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2B90"/>
    <w:pPr>
      <w:numPr>
        <w:numId w:val="8"/>
      </w:numPr>
    </w:pPr>
  </w:style>
  <w:style w:type="paragraph" w:customStyle="1" w:styleId="ListAlpha2">
    <w:name w:val="List Alpha 2"/>
    <w:basedOn w:val="List2"/>
    <w:rsid w:val="00A72B90"/>
    <w:pPr>
      <w:numPr>
        <w:numId w:val="7"/>
      </w:numPr>
    </w:pPr>
  </w:style>
  <w:style w:type="paragraph" w:styleId="List2">
    <w:name w:val="List 2"/>
    <w:basedOn w:val="BodyText"/>
    <w:rsid w:val="00A72B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2B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2B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2B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2B9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2B9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72B90"/>
    <w:pPr>
      <w:numPr>
        <w:numId w:val="3"/>
      </w:numPr>
    </w:pPr>
  </w:style>
  <w:style w:type="paragraph" w:styleId="ListContinue2">
    <w:name w:val="List Continue 2"/>
    <w:basedOn w:val="List2"/>
    <w:rsid w:val="00A72B90"/>
    <w:pPr>
      <w:ind w:firstLine="0"/>
    </w:pPr>
  </w:style>
  <w:style w:type="paragraph" w:styleId="ListContinue3">
    <w:name w:val="List Continue 3"/>
    <w:basedOn w:val="List3"/>
    <w:rsid w:val="00A72B90"/>
    <w:pPr>
      <w:ind w:left="1021" w:firstLine="0"/>
    </w:pPr>
  </w:style>
  <w:style w:type="paragraph" w:styleId="ListContinue4">
    <w:name w:val="List Continue 4"/>
    <w:basedOn w:val="List4"/>
    <w:rsid w:val="00A72B90"/>
    <w:pPr>
      <w:ind w:firstLine="0"/>
    </w:pPr>
  </w:style>
  <w:style w:type="paragraph" w:styleId="ListContinue5">
    <w:name w:val="List Continue 5"/>
    <w:basedOn w:val="List5"/>
    <w:rsid w:val="00A72B90"/>
    <w:pPr>
      <w:ind w:firstLine="0"/>
    </w:pPr>
  </w:style>
  <w:style w:type="paragraph" w:styleId="ListNumber3">
    <w:name w:val="List Number 3"/>
    <w:basedOn w:val="List3"/>
    <w:rsid w:val="00A72B90"/>
    <w:pPr>
      <w:numPr>
        <w:numId w:val="4"/>
      </w:numPr>
    </w:pPr>
  </w:style>
  <w:style w:type="paragraph" w:styleId="ListNumber4">
    <w:name w:val="List Number 4"/>
    <w:basedOn w:val="List4"/>
    <w:rsid w:val="00A72B90"/>
    <w:pPr>
      <w:numPr>
        <w:numId w:val="5"/>
      </w:numPr>
    </w:pPr>
  </w:style>
  <w:style w:type="paragraph" w:styleId="ListNumber5">
    <w:name w:val="List Number 5"/>
    <w:basedOn w:val="List5"/>
    <w:rsid w:val="00A72B90"/>
    <w:pPr>
      <w:numPr>
        <w:numId w:val="6"/>
      </w:numPr>
    </w:pPr>
  </w:style>
  <w:style w:type="paragraph" w:styleId="BlockText">
    <w:name w:val="Block Text"/>
    <w:basedOn w:val="Normal"/>
    <w:rsid w:val="00A72B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2B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2B90"/>
    <w:rPr>
      <w:sz w:val="16"/>
      <w:vertAlign w:val="superscript"/>
    </w:rPr>
  </w:style>
  <w:style w:type="character" w:customStyle="1" w:styleId="Symbols">
    <w:name w:val="Symbols"/>
    <w:basedOn w:val="DefaultParagraphFont"/>
    <w:rsid w:val="00A72B90"/>
    <w:rPr>
      <w:rFonts w:ascii="Symbol" w:hAnsi="Symbol"/>
    </w:rPr>
  </w:style>
  <w:style w:type="character" w:customStyle="1" w:styleId="MenuOptions">
    <w:name w:val="Menu Options"/>
    <w:basedOn w:val="DefaultParagraphFont"/>
    <w:rsid w:val="00A72B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2B90"/>
    <w:rPr>
      <w:b/>
    </w:rPr>
  </w:style>
  <w:style w:type="character" w:customStyle="1" w:styleId="Underlined">
    <w:name w:val="Underlined"/>
    <w:basedOn w:val="DefaultParagraphFont"/>
    <w:rsid w:val="00A72B90"/>
    <w:rPr>
      <w:u w:val="single"/>
    </w:rPr>
  </w:style>
  <w:style w:type="paragraph" w:customStyle="1" w:styleId="TableBodyTextRight">
    <w:name w:val="Table Body Text Right"/>
    <w:basedOn w:val="TableBodyText"/>
    <w:rsid w:val="00A72B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2B90"/>
    <w:rPr>
      <w:sz w:val="18"/>
    </w:rPr>
  </w:style>
  <w:style w:type="paragraph" w:customStyle="1" w:styleId="BodySmallRight">
    <w:name w:val="Body Small Right"/>
    <w:basedOn w:val="BodyTextRight"/>
    <w:rsid w:val="00A72B90"/>
    <w:rPr>
      <w:sz w:val="18"/>
      <w:szCs w:val="18"/>
    </w:rPr>
  </w:style>
  <w:style w:type="paragraph" w:customStyle="1" w:styleId="MarginEdition">
    <w:name w:val="Margin Edition"/>
    <w:basedOn w:val="MarginNote"/>
    <w:rsid w:val="00A72B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2B90"/>
    <w:rPr>
      <w:sz w:val="2"/>
      <w:szCs w:val="2"/>
    </w:rPr>
  </w:style>
  <w:style w:type="character" w:customStyle="1" w:styleId="Small">
    <w:name w:val="Small"/>
    <w:basedOn w:val="DefaultParagraphFont"/>
    <w:rsid w:val="00A72B90"/>
    <w:rPr>
      <w:sz w:val="16"/>
    </w:rPr>
  </w:style>
  <w:style w:type="paragraph" w:customStyle="1" w:styleId="WideTable">
    <w:name w:val="Wide Table"/>
    <w:basedOn w:val="Normal"/>
    <w:rsid w:val="00A72B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2B90"/>
  </w:style>
  <w:style w:type="paragraph" w:styleId="Quote">
    <w:name w:val="Quote"/>
    <w:basedOn w:val="Heading1"/>
    <w:link w:val="QuoteChar"/>
    <w:qFormat/>
    <w:rsid w:val="00A72B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2B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2B90"/>
    <w:pPr>
      <w:pageBreakBefore/>
    </w:pPr>
  </w:style>
  <w:style w:type="paragraph" w:customStyle="1" w:styleId="Border">
    <w:name w:val="Border"/>
    <w:basedOn w:val="Normal"/>
    <w:qFormat/>
    <w:rsid w:val="00A72B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2B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2B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2B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2B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2B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2B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2B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2B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2B90"/>
    <w:rPr>
      <w:u w:val="single"/>
    </w:rPr>
  </w:style>
  <w:style w:type="character" w:customStyle="1" w:styleId="BoldandItalics">
    <w:name w:val="Bold and Italics"/>
    <w:qFormat/>
    <w:rsid w:val="00A72B90"/>
    <w:rPr>
      <w:b/>
      <w:i/>
      <w:u w:val="none"/>
    </w:rPr>
  </w:style>
  <w:style w:type="paragraph" w:styleId="BalloonText">
    <w:name w:val="Balloon Text"/>
    <w:basedOn w:val="Normal"/>
    <w:link w:val="BalloonTextChar"/>
    <w:rsid w:val="00A72B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2B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2B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2B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2B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2B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2B90"/>
    <w:pPr>
      <w:spacing w:before="0" w:after="0"/>
    </w:pPr>
  </w:style>
  <w:style w:type="paragraph" w:customStyle="1" w:styleId="BodyTextBold">
    <w:name w:val="Body Text Bold"/>
    <w:basedOn w:val="BodyText"/>
    <w:qFormat/>
    <w:rsid w:val="00A72B90"/>
    <w:rPr>
      <w:b/>
    </w:rPr>
  </w:style>
  <w:style w:type="character" w:styleId="Hyperlink">
    <w:name w:val="Hyperlink"/>
    <w:basedOn w:val="DefaultParagraphFont"/>
    <w:uiPriority w:val="99"/>
    <w:unhideWhenUsed/>
    <w:rsid w:val="00656D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508</Words>
  <Characters>3462</Characters>
  <Application>Microsoft Office Word</Application>
  <DocSecurity>0</DocSecurity>
  <Lines>78</Lines>
  <Paragraphs>58</Paragraphs>
  <ScaleCrop>false</ScaleCrop>
  <Company>Author-it Software Corporation Ltd.</Company>
  <LinksUpToDate>false</LinksUpToDate>
  <CharactersWithSpaces>3912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TLIX0010X Enable traceability in supply chains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2024-07-12T08:01:00Z</dcterms:created>
  <dcterms:modified xsi:type="dcterms:W3CDTF">2024-07-12T08:01:00Z</dcterms:modified>
</cp:coreProperties>
</file>