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11B" w:rsidP="00C3111B">
      <w:pPr>
        <w:pStyle w:val="Title"/>
      </w:pPr>
      <w:r>
        <w:fldChar w:fldCharType="begin"/>
      </w:r>
      <w:r>
        <w:instrText xml:space="preserve"> TITLE   \* MERGEFORMAT </w:instrText>
      </w:r>
      <w:r>
        <w:fldChar w:fldCharType="separate"/>
      </w:r>
      <w:r>
        <w:t>TLIX0009X Employ digital supply chain risk management practices</w:t>
      </w:r>
      <w:r>
        <w:fldChar w:fldCharType="end"/>
      </w:r>
    </w:p>
    <w:p w:rsidR="00C3111B" w:rsidP="00C3111B">
      <w:pPr>
        <w:pStyle w:val="Version"/>
        <w:sectPr w:rsidSect="00A50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0D3" w:rsidP="00A500D3">
      <w:pPr>
        <w:pStyle w:val="SuperHeading"/>
      </w:pPr>
      <w:r w:rsidRPr="00A500D3">
        <w:t>TLIX0009X Employ digital supply chain risk management practices</w:t>
      </w:r>
    </w:p>
    <w:p w:rsidR="00000000" w:rsidRPr="00A500D3" w:rsidP="00A500D3">
      <w:pPr>
        <w:pStyle w:val="Heading1"/>
      </w:pPr>
      <w:bookmarkStart w:id="1" w:name="O_1066253"/>
      <w:bookmarkEnd w:id="1"/>
      <w:r w:rsidRPr="00A500D3">
        <w:t>Modification History</w:t>
      </w:r>
    </w:p>
    <w:tbl>
      <w:tblPr>
        <w:tblW w:w="9497" w:type="dxa"/>
        <w:tblLayout w:type="fixed"/>
        <w:tblCellMar>
          <w:left w:w="62" w:type="dxa"/>
          <w:right w:w="62" w:type="dxa"/>
        </w:tblCellMar>
        <w:tblLook w:val="0000"/>
      </w:tblPr>
      <w:tblGrid>
        <w:gridCol w:w="9497"/>
      </w:tblGrid>
      <w:tr w:rsidTr="00A5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Release 1.</w:t>
            </w:r>
            <w:r w:rsidRPr="00A500D3">
              <w:t xml:space="preserve"> This is the first release of this unit of competency in the TLI Transport and Logistics Training Package.</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2" w:name="O_1066254"/>
      <w:bookmarkEnd w:id="2"/>
      <w:r w:rsidRPr="00A500D3">
        <w:t>Application</w:t>
      </w:r>
    </w:p>
    <w:tbl>
      <w:tblPr>
        <w:tblW w:w="9497" w:type="dxa"/>
        <w:tblLayout w:type="fixed"/>
        <w:tblCellMar>
          <w:left w:w="62" w:type="dxa"/>
          <w:right w:w="62" w:type="dxa"/>
        </w:tblCellMar>
        <w:tblLook w:val="0000"/>
      </w:tblPr>
      <w:tblGrid>
        <w:gridCol w:w="9497"/>
      </w:tblGrid>
      <w:tr w:rsidTr="00A5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t>This unit of competency describes the skills and knowledge required to employ contemporary risk management practices in digital supply chain environments. It includes identifying digital supply chain risks, developing digital supply chain risk management p</w:t>
            </w:r>
            <w:r w:rsidRPr="00A500D3">
              <w:t>lans, implementing digital supply chain practices and reviewing digital supply chain risk management practices.</w:t>
            </w:r>
          </w:p>
          <w:p w:rsidR="00000000" w:rsidRPr="00A500D3" w:rsidP="00A500D3">
            <w:pPr>
              <w:pStyle w:val="BodyText"/>
            </w:pPr>
            <w:r w:rsidRPr="00A500D3">
              <w:t>Supply chain risk management practices typically focus on identifying, measuring and analysing risks to minimise negative impacts. Risk manageme</w:t>
            </w:r>
            <w:r w:rsidRPr="00A500D3">
              <w:t>nt and risk control in a digital supply chain, whilst built on standard risk planning strategies, will specifically aim to address cyber security in relation to third parties and the provision of rapid organisational responses to unplanned events.</w:t>
            </w:r>
          </w:p>
          <w:p w:rsidR="00000000" w:rsidRPr="00A500D3" w:rsidP="00A500D3">
            <w:pPr>
              <w:pStyle w:val="BodyText"/>
            </w:pPr>
            <w:r w:rsidRPr="00A500D3">
              <w:t>The unit</w:t>
            </w:r>
            <w:r w:rsidRPr="00A500D3">
              <w:t xml:space="preserve"> is applicable to those with management or team leadership responsibilities within a supply chain.</w:t>
            </w:r>
          </w:p>
          <w:p w:rsidR="00000000" w:rsidRPr="00A500D3" w:rsidP="00A500D3">
            <w:pPr>
              <w:pStyle w:val="BodyText"/>
            </w:pPr>
            <w:r w:rsidRPr="00A500D3">
              <w:t>No licensing, legislative or certification requirements apply to this unit at the time of publication.</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3" w:name="O_1066255"/>
      <w:bookmarkEnd w:id="3"/>
      <w:r w:rsidRPr="00A500D3">
        <w:t>Pre-requisite Unit</w:t>
      </w:r>
    </w:p>
    <w:tbl>
      <w:tblPr>
        <w:tblW w:w="9497" w:type="dxa"/>
        <w:tblLayout w:type="fixed"/>
        <w:tblCellMar>
          <w:left w:w="62" w:type="dxa"/>
          <w:right w:w="62" w:type="dxa"/>
        </w:tblCellMar>
        <w:tblLook w:val="0000"/>
      </w:tblPr>
      <w:tblGrid>
        <w:gridCol w:w="9497"/>
      </w:tblGrid>
      <w:tr w:rsidTr="00A5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t>Not applicable</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4" w:name="O_1066256"/>
      <w:bookmarkEnd w:id="4"/>
      <w:r w:rsidRPr="00A500D3">
        <w:t>Competency Field</w:t>
      </w:r>
    </w:p>
    <w:tbl>
      <w:tblPr>
        <w:tblW w:w="9497" w:type="dxa"/>
        <w:tblLayout w:type="fixed"/>
        <w:tblCellMar>
          <w:left w:w="62" w:type="dxa"/>
          <w:right w:w="62" w:type="dxa"/>
        </w:tblCellMar>
        <w:tblLook w:val="0000"/>
      </w:tblPr>
      <w:tblGrid>
        <w:gridCol w:w="9497"/>
      </w:tblGrid>
      <w:tr w:rsidTr="00A5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t>Supply chain</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5" w:name="O_1066257"/>
      <w:bookmarkEnd w:id="5"/>
      <w:r w:rsidRPr="00A500D3">
        <w:t>Unit Sector</w:t>
      </w:r>
    </w:p>
    <w:tbl>
      <w:tblPr>
        <w:tblW w:w="9497" w:type="dxa"/>
        <w:tblLayout w:type="fixed"/>
        <w:tblCellMar>
          <w:left w:w="62" w:type="dxa"/>
          <w:right w:w="62" w:type="dxa"/>
        </w:tblCellMar>
        <w:tblLook w:val="0000"/>
      </w:tblPr>
      <w:tblGrid>
        <w:gridCol w:w="9497"/>
      </w:tblGrid>
      <w:tr w:rsidTr="00A5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t>X - Logistics</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6" w:name="O_1066258"/>
      <w:bookmarkEnd w:id="6"/>
      <w:r w:rsidRPr="00A500D3">
        <w:t>Elements and Performance Criteria</w:t>
      </w:r>
    </w:p>
    <w:tbl>
      <w:tblPr>
        <w:tblW w:w="0" w:type="auto"/>
        <w:tblLayout w:type="fixed"/>
        <w:tblCellMar>
          <w:left w:w="62" w:type="dxa"/>
          <w:right w:w="62" w:type="dxa"/>
        </w:tblCellMar>
        <w:tblLook w:val="0000"/>
      </w:tblPr>
      <w:tblGrid>
        <w:gridCol w:w="403"/>
        <w:gridCol w:w="2839"/>
        <w:gridCol w:w="638"/>
        <w:gridCol w:w="5259"/>
      </w:tblGrid>
      <w:tr w:rsidTr="00A500D3">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PERFORMANCE CRITERIA</w:t>
            </w:r>
          </w:p>
        </w:tc>
      </w:tr>
      <w:tr w:rsidTr="00A500D3">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Performance criteria describe the performance needed to demonstrate achievement of the element.</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Identify digital supply chain risks</w:t>
            </w: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 xml:space="preserve">Risks, including vulnerabilities in the digital supply chain, are identified and mapped </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Cyber secur</w:t>
            </w:r>
            <w:r w:rsidRPr="00A500D3">
              <w:t>ity risks related to third parties in the digital supply chain are identified</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 xml:space="preserve">Digital supply chain risks are prioritised for severity of impact </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Responsibility and level of authority for monitoring risk management practices in the digital supply chain is confirmed</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Develop digital supply chain risk management plan</w:t>
            </w: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Digital supply chain risk management plan is developed and communicated to stak</w:t>
            </w:r>
            <w:r w:rsidRPr="00A500D3">
              <w:t>eholders</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Digital supply chain risk management system is developed, in accordance with the risk management plan</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Digital supply chain risk management policies, procedures, processes and practices are developed, in consultation with stakeholders</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 xml:space="preserve">Reporting mechanisms are established, in accordance with the risk management plan </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Implement digital supply chain risk management</w:t>
            </w:r>
            <w:r w:rsidRPr="00A500D3">
              <w:t xml:space="preserve"> </w:t>
            </w:r>
            <w:r w:rsidRPr="00A500D3">
              <w:rPr>
                <w:rStyle w:val="SpecialBold"/>
              </w:rPr>
              <w:t>practices</w:t>
            </w: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Risk mitigation is undertaken, in accordance with risk management procedures</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 xml:space="preserve">Digital supply chain dashboard metrics are used to assess risks, identify causes and inform stakeholders  </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 xml:space="preserve">Risks to the technical integrity of the digital supply chain are reported, in accordance with risk management procedures </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3.4</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Responses to unplanned digital supply chain events are managed, in accordance with risk management procedures</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rPr>
                <w:rStyle w:val="SpecialBold"/>
              </w:rPr>
              <w:t>Review and report on</w:t>
            </w:r>
            <w:r w:rsidRPr="00A500D3">
              <w:t xml:space="preserve"> </w:t>
            </w:r>
            <w:r w:rsidRPr="00A500D3">
              <w:rPr>
                <w:rStyle w:val="SpecialBold"/>
              </w:rPr>
              <w:t>digital supply chain risk management practices</w:t>
            </w: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4.1</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Digital supply chain risk outcomes, including cyber security, are asses</w:t>
            </w:r>
            <w:r w:rsidRPr="00A500D3">
              <w:t>sed and the effectiveness of risk mitigation is reviewed, in consultation with stakeholders</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4.2</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 xml:space="preserve">Continuous monitoring and assessment of digital </w:t>
            </w:r>
            <w:r w:rsidRPr="00A500D3">
              <w:t>supply chain data related to risk management practices is reviewed</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4.3</w:t>
            </w:r>
          </w:p>
        </w:tc>
        <w:tc>
          <w:tcPr>
            <w:tcW w:w="5259"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t>Report on digital supply chain risk</w:t>
            </w:r>
            <w:r w:rsidRPr="00A500D3">
              <w:t xml:space="preserve"> management practices is prepared and presented to approved stakeholders</w:t>
            </w:r>
          </w:p>
        </w:tc>
      </w:tr>
      <w:tr w:rsidTr="00A500D3">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A500D3">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A500D3">
            <w:pPr>
              <w:pStyle w:val="BodyText"/>
              <w:rPr>
                <w:lang w:val="en-NZ"/>
              </w:rPr>
            </w:pPr>
            <w:r w:rsidRPr="00A500D3">
              <w:rPr>
                <w:rStyle w:val="SpecialBold"/>
              </w:rPr>
              <w:t>4.4</w:t>
            </w:r>
          </w:p>
        </w:tc>
        <w:tc>
          <w:tcPr>
            <w:tcW w:w="5259"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t>Continuous improvement actions that support risk management practices are documented</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7" w:name="O_1066259"/>
      <w:bookmarkEnd w:id="7"/>
      <w:r w:rsidRPr="00A500D3">
        <w:t>Foundation Skills</w:t>
      </w:r>
    </w:p>
    <w:tbl>
      <w:tblPr>
        <w:tblW w:w="9497" w:type="dxa"/>
        <w:tblLayout w:type="fixed"/>
        <w:tblCellMar>
          <w:left w:w="62" w:type="dxa"/>
          <w:right w:w="62" w:type="dxa"/>
        </w:tblCellMar>
        <w:tblLook w:val="0000"/>
      </w:tblPr>
      <w:tblGrid>
        <w:gridCol w:w="9497"/>
      </w:tblGrid>
      <w:tr w:rsidTr="00A5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t>Foundation skills essential to performance are explicit in the performance criteria of this unit of competency.</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8" w:name="O_1066260"/>
      <w:bookmarkEnd w:id="8"/>
      <w:r w:rsidRPr="00A500D3">
        <w:t>Range of Conditions</w:t>
      </w:r>
    </w:p>
    <w:tbl>
      <w:tblPr>
        <w:tblW w:w="9497" w:type="dxa"/>
        <w:tblLayout w:type="fixed"/>
        <w:tblCellMar>
          <w:left w:w="62" w:type="dxa"/>
          <w:right w:w="62" w:type="dxa"/>
        </w:tblCellMar>
        <w:tblLook w:val="0000"/>
      </w:tblPr>
      <w:tblGrid>
        <w:gridCol w:w="9497"/>
      </w:tblGrid>
      <w:tr w:rsidTr="00A5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t>Range is restricted to essential operating conditions and any other variables essential to the work env</w:t>
            </w:r>
            <w:r w:rsidRPr="00A500D3">
              <w:t>ironment.</w:t>
            </w:r>
          </w:p>
          <w:p w:rsidR="00000000" w:rsidRPr="00A500D3" w:rsidP="00A500D3">
            <w:pPr>
              <w:pStyle w:val="BodyText"/>
            </w:pPr>
            <w:r w:rsidRPr="00A500D3">
              <w:t>Non-essential conditions may be found in the Companion Volume Implementation Guide.</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9" w:name="O_1066261"/>
      <w:bookmarkEnd w:id="9"/>
      <w:r w:rsidRPr="00A500D3">
        <w:t>Unit Mapping Information</w:t>
      </w:r>
    </w:p>
    <w:tbl>
      <w:tblPr>
        <w:tblW w:w="9497" w:type="dxa"/>
        <w:tblLayout w:type="fixed"/>
        <w:tblCellMar>
          <w:left w:w="62" w:type="dxa"/>
          <w:right w:w="62" w:type="dxa"/>
        </w:tblCellMar>
        <w:tblLook w:val="0000"/>
      </w:tblPr>
      <w:tblGrid>
        <w:gridCol w:w="9497"/>
      </w:tblGrid>
      <w:tr w:rsidTr="00A500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00D3" w:rsidP="00A500D3">
            <w:pPr>
              <w:pStyle w:val="BodyText"/>
            </w:pPr>
            <w:r w:rsidRPr="00A500D3">
              <w:t>This is a new unit. There is no equivalent unit.</w:t>
            </w:r>
          </w:p>
        </w:tc>
      </w:tr>
    </w:tbl>
    <w:p w:rsidR="00000000" w:rsidRPr="00A500D3" w:rsidP="00A500D3">
      <w:pPr>
        <w:pStyle w:val="NoPaddingFontSize1"/>
      </w:pPr>
    </w:p>
    <w:p w:rsidR="00000000" w:rsidRPr="00A500D3" w:rsidP="00A500D3">
      <w:pPr>
        <w:pStyle w:val="AllowPageBreak"/>
      </w:pPr>
    </w:p>
    <w:p w:rsidR="00000000" w:rsidRPr="00A500D3" w:rsidP="00A500D3">
      <w:pPr>
        <w:pStyle w:val="Heading1"/>
      </w:pPr>
      <w:bookmarkStart w:id="10" w:name="O_1066268"/>
      <w:bookmarkEnd w:id="10"/>
      <w:r w:rsidRPr="00A500D3">
        <w:t>Links</w:t>
      </w:r>
    </w:p>
    <w:p w:rsidR="00000000" w:rsidRPr="00A500D3" w:rsidP="00C3111B">
      <w:pPr>
        <w:pStyle w:val="BodyText"/>
      </w:pPr>
      <w:r w:rsidRPr="00A500D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60C13">
        <w:rPr>
          <w:rStyle w:val="Hyperlink"/>
        </w:rPr>
        <w:t>https://vetnet.gov.au/Pages/TrainingDocs.aspx?q=df441c6e-213d-43e3-874c-0b3f7036d851</w:t>
      </w:r>
      <w:r>
        <w:fldChar w:fldCharType="end"/>
      </w:r>
    </w:p>
    <w:p w:rsidR="00000000" w:rsidRPr="00A500D3" w:rsidP="00A500D3"/>
    <w:sectPr w:rsidSect="00A500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D3" w:rsidRPr="00C3111B" w:rsidP="00C311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1B" w:rsidP="00A50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111B" w:rsidP="00A500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3111B" w:rsidP="00A50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0D3" w:rsidRPr="00C3111B" w:rsidP="00C311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1B" w:rsidRPr="002D2AF8" w:rsidP="00A500D3">
    <w:pPr>
      <w:pStyle w:val="Header"/>
      <w:framePr w:wrap="around"/>
    </w:pPr>
    <w:r>
      <w:fldChar w:fldCharType="begin"/>
    </w:r>
    <w:r>
      <w:instrText xml:space="preserve"> TITLE   \* MERGEFORMAT </w:instrText>
    </w:r>
    <w:r>
      <w:fldChar w:fldCharType="separate"/>
    </w:r>
    <w:r>
      <w:t>TLIX0009X Employ digital supply chain risk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3111B" w:rsidP="00A50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0D3"/>
    <w:pPr>
      <w:spacing w:before="360" w:after="60"/>
      <w:outlineLvl w:val="0"/>
    </w:pPr>
    <w:rPr>
      <w:sz w:val="32"/>
    </w:rPr>
  </w:style>
  <w:style w:type="paragraph" w:styleId="Heading2">
    <w:name w:val="heading 2"/>
    <w:basedOn w:val="HeadingBase"/>
    <w:next w:val="BodyText"/>
    <w:link w:val="Heading2Char"/>
    <w:qFormat/>
    <w:rsid w:val="00A500D3"/>
    <w:pPr>
      <w:keepLines/>
      <w:spacing w:before="240" w:after="120"/>
      <w:outlineLvl w:val="1"/>
    </w:pPr>
    <w:rPr>
      <w:sz w:val="28"/>
      <w:szCs w:val="40"/>
    </w:rPr>
  </w:style>
  <w:style w:type="paragraph" w:styleId="Heading3">
    <w:name w:val="heading 3"/>
    <w:basedOn w:val="HeadingBase"/>
    <w:next w:val="BodyText"/>
    <w:link w:val="Heading3Char"/>
    <w:qFormat/>
    <w:rsid w:val="00A500D3"/>
    <w:pPr>
      <w:spacing w:before="180" w:after="120"/>
      <w:outlineLvl w:val="2"/>
    </w:pPr>
    <w:rPr>
      <w:spacing w:val="-10"/>
      <w:kern w:val="32"/>
    </w:rPr>
  </w:style>
  <w:style w:type="paragraph" w:styleId="Heading4">
    <w:name w:val="heading 4"/>
    <w:basedOn w:val="HeadingBase"/>
    <w:next w:val="BodyText"/>
    <w:link w:val="Heading4Char"/>
    <w:qFormat/>
    <w:rsid w:val="00A500D3"/>
    <w:pPr>
      <w:spacing w:before="160" w:after="120"/>
      <w:outlineLvl w:val="3"/>
    </w:pPr>
    <w:rPr>
      <w:sz w:val="22"/>
    </w:rPr>
  </w:style>
  <w:style w:type="paragraph" w:styleId="Heading5">
    <w:name w:val="heading 5"/>
    <w:basedOn w:val="HeadingBase"/>
    <w:next w:val="Normal"/>
    <w:link w:val="Heading5Char"/>
    <w:qFormat/>
    <w:rsid w:val="00A500D3"/>
    <w:pPr>
      <w:spacing w:before="80"/>
      <w:outlineLvl w:val="4"/>
    </w:pPr>
    <w:rPr>
      <w:color w:val="918585"/>
      <w:sz w:val="20"/>
    </w:rPr>
  </w:style>
  <w:style w:type="paragraph" w:styleId="Heading6">
    <w:name w:val="heading 6"/>
    <w:basedOn w:val="HeadingBase"/>
    <w:next w:val="Normal"/>
    <w:link w:val="Heading6Char"/>
    <w:qFormat/>
    <w:rsid w:val="00A500D3"/>
    <w:pPr>
      <w:spacing w:before="60"/>
      <w:outlineLvl w:val="5"/>
    </w:pPr>
    <w:rPr>
      <w:color w:val="918585"/>
      <w:sz w:val="20"/>
    </w:rPr>
  </w:style>
  <w:style w:type="paragraph" w:styleId="Heading7">
    <w:name w:val="heading 7"/>
    <w:basedOn w:val="Normal"/>
    <w:next w:val="Normal"/>
    <w:link w:val="Heading7Char"/>
    <w:qFormat/>
    <w:rsid w:val="00A500D3"/>
    <w:pPr>
      <w:ind w:left="720"/>
      <w:outlineLvl w:val="6"/>
    </w:pPr>
    <w:rPr>
      <w:i/>
    </w:rPr>
  </w:style>
  <w:style w:type="paragraph" w:styleId="Heading8">
    <w:name w:val="heading 8"/>
    <w:basedOn w:val="Normal"/>
    <w:next w:val="Normal"/>
    <w:link w:val="Heading8Char"/>
    <w:qFormat/>
    <w:rsid w:val="00A500D3"/>
    <w:pPr>
      <w:ind w:left="720"/>
      <w:outlineLvl w:val="7"/>
    </w:pPr>
    <w:rPr>
      <w:i/>
    </w:rPr>
  </w:style>
  <w:style w:type="paragraph" w:styleId="Heading9">
    <w:name w:val="heading 9"/>
    <w:basedOn w:val="Normal"/>
    <w:next w:val="Normal"/>
    <w:link w:val="Heading9Char"/>
    <w:qFormat/>
    <w:rsid w:val="00A500D3"/>
    <w:pPr>
      <w:ind w:left="720"/>
      <w:outlineLvl w:val="8"/>
    </w:pPr>
    <w:rPr>
      <w:i/>
    </w:rPr>
  </w:style>
  <w:style w:type="character" w:default="1" w:styleId="DefaultParagraphFont">
    <w:name w:val="Default Paragraph Font"/>
    <w:uiPriority w:val="1"/>
    <w:unhideWhenUsed/>
    <w:rsid w:val="00A50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0D3"/>
  </w:style>
  <w:style w:type="character" w:customStyle="1" w:styleId="Heading1Char">
    <w:name w:val="Heading 1 Char"/>
    <w:basedOn w:val="DefaultParagraphFont"/>
    <w:link w:val="Heading1"/>
    <w:rsid w:val="00A500D3"/>
    <w:rPr>
      <w:rFonts w:ascii="Times New Roman" w:eastAsia="Times New Roman" w:hAnsi="Times New Roman" w:cs="Times New Roman"/>
      <w:b/>
      <w:sz w:val="32"/>
      <w:szCs w:val="20"/>
      <w:lang w:eastAsia="en-US"/>
    </w:rPr>
  </w:style>
  <w:style w:type="paragraph" w:styleId="BodyText">
    <w:name w:val="Body Text"/>
    <w:basedOn w:val="Normal"/>
    <w:link w:val="BodyTextChar"/>
    <w:rsid w:val="00A50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0D3"/>
    <w:rPr>
      <w:rFonts w:ascii="Times New Roman" w:eastAsia="Times New Roman" w:hAnsi="Times New Roman" w:cs="Times New Roman"/>
      <w:sz w:val="24"/>
      <w:lang w:eastAsia="en-US"/>
    </w:rPr>
  </w:style>
  <w:style w:type="character" w:customStyle="1" w:styleId="SpecialBold">
    <w:name w:val="Special Bold"/>
    <w:basedOn w:val="DefaultParagraphFont"/>
    <w:rsid w:val="00A500D3"/>
    <w:rPr>
      <w:b/>
      <w:spacing w:val="0"/>
    </w:rPr>
  </w:style>
  <w:style w:type="paragraph" w:customStyle="1" w:styleId="SuperHeading">
    <w:name w:val="SuperHeading"/>
    <w:basedOn w:val="Normal"/>
    <w:rsid w:val="00A500D3"/>
    <w:pPr>
      <w:spacing w:before="240" w:after="120"/>
      <w:outlineLvl w:val="0"/>
    </w:pPr>
    <w:rPr>
      <w:rFonts w:ascii="Times New Roman" w:hAnsi="Times New Roman"/>
      <w:b/>
      <w:sz w:val="32"/>
    </w:rPr>
  </w:style>
  <w:style w:type="paragraph" w:customStyle="1" w:styleId="AllowPageBreak">
    <w:name w:val="AllowPageBreak"/>
    <w:rsid w:val="00A500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0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0D3"/>
    <w:rPr>
      <w:rFonts w:ascii="Courier New" w:eastAsia="Times New Roman" w:hAnsi="Courier New" w:cs="Times New Roman"/>
      <w:i/>
      <w:szCs w:val="20"/>
      <w:lang w:eastAsia="en-US"/>
    </w:rPr>
  </w:style>
  <w:style w:type="paragraph" w:customStyle="1" w:styleId="HeadingBase">
    <w:name w:val="Heading Base"/>
    <w:rsid w:val="00A50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0D3"/>
    <w:pPr>
      <w:tabs>
        <w:tab w:val="right" w:leader="dot" w:pos="9072"/>
      </w:tabs>
      <w:ind w:left="567"/>
    </w:pPr>
    <w:rPr>
      <w:szCs w:val="22"/>
    </w:rPr>
  </w:style>
  <w:style w:type="paragraph" w:customStyle="1" w:styleId="TOCBase">
    <w:name w:val="TOC Base"/>
    <w:rsid w:val="00A50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0D3"/>
    <w:pPr>
      <w:tabs>
        <w:tab w:val="right" w:leader="dot" w:pos="9072"/>
      </w:tabs>
      <w:spacing w:before="40" w:after="40"/>
      <w:ind w:left="284"/>
    </w:pPr>
    <w:rPr>
      <w:rFonts w:ascii="Times New Roman" w:hAnsi="Times New Roman"/>
    </w:rPr>
  </w:style>
  <w:style w:type="paragraph" w:styleId="TOC1">
    <w:name w:val="toc 1"/>
    <w:basedOn w:val="TOCBase"/>
    <w:next w:val="Normal"/>
    <w:rsid w:val="00A50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0D3"/>
    <w:rPr>
      <w:rFonts w:ascii="Times New Roman" w:eastAsia="Times New Roman" w:hAnsi="Times New Roman" w:cs="Times New Roman"/>
      <w:sz w:val="16"/>
      <w:lang w:eastAsia="en-US"/>
    </w:rPr>
  </w:style>
  <w:style w:type="paragraph" w:styleId="Title">
    <w:name w:val="Title"/>
    <w:basedOn w:val="HeadingBase"/>
    <w:link w:val="TitleChar"/>
    <w:qFormat/>
    <w:rsid w:val="00A500D3"/>
    <w:pPr>
      <w:spacing w:before="5040"/>
      <w:jc w:val="center"/>
    </w:pPr>
    <w:rPr>
      <w:sz w:val="48"/>
      <w:szCs w:val="72"/>
      <w:lang w:val="en-US"/>
    </w:rPr>
  </w:style>
  <w:style w:type="character" w:customStyle="1" w:styleId="TitleChar">
    <w:name w:val="Title Char"/>
    <w:basedOn w:val="DefaultParagraphFont"/>
    <w:link w:val="Title"/>
    <w:rsid w:val="00A50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0D3"/>
    <w:pPr>
      <w:tabs>
        <w:tab w:val="left" w:pos="3600"/>
        <w:tab w:val="left" w:pos="3958"/>
      </w:tabs>
    </w:pPr>
  </w:style>
  <w:style w:type="paragraph" w:styleId="List">
    <w:name w:val="List"/>
    <w:basedOn w:val="BodyText"/>
    <w:next w:val="BodyText"/>
    <w:rsid w:val="00A500D3"/>
    <w:pPr>
      <w:tabs>
        <w:tab w:val="left" w:pos="340"/>
      </w:tabs>
      <w:spacing w:before="60" w:after="60"/>
      <w:ind w:left="340" w:hanging="340"/>
    </w:pPr>
  </w:style>
  <w:style w:type="paragraph" w:styleId="ListBullet">
    <w:name w:val="List Bullet"/>
    <w:basedOn w:val="List"/>
    <w:rsid w:val="00A500D3"/>
    <w:pPr>
      <w:numPr>
        <w:numId w:val="10"/>
      </w:numPr>
      <w:tabs>
        <w:tab w:val="clear" w:pos="340"/>
      </w:tabs>
      <w:spacing w:before="40" w:after="40"/>
    </w:pPr>
  </w:style>
  <w:style w:type="paragraph" w:customStyle="1" w:styleId="Note">
    <w:name w:val="Note"/>
    <w:basedOn w:val="BodyText"/>
    <w:rsid w:val="00A50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0D3"/>
    <w:pPr>
      <w:framePr w:wrap="auto" w:hAnchor="text" w:y="6049"/>
    </w:pPr>
    <w:rPr>
      <w:color w:val="000000"/>
      <w:sz w:val="40"/>
    </w:rPr>
  </w:style>
  <w:style w:type="paragraph" w:customStyle="1" w:styleId="TOCTitle">
    <w:name w:val="TOCTitle"/>
    <w:basedOn w:val="Heading1"/>
    <w:rsid w:val="00A500D3"/>
    <w:pPr>
      <w:spacing w:after="240"/>
      <w:jc w:val="center"/>
      <w:outlineLvl w:val="9"/>
    </w:pPr>
    <w:rPr>
      <w:caps/>
    </w:rPr>
  </w:style>
  <w:style w:type="paragraph" w:customStyle="1" w:styleId="Version">
    <w:name w:val="Version"/>
    <w:rsid w:val="00A500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00D3"/>
    <w:pPr>
      <w:numPr>
        <w:numId w:val="11"/>
      </w:numPr>
      <w:tabs>
        <w:tab w:val="clear" w:pos="680"/>
      </w:tabs>
    </w:pPr>
  </w:style>
  <w:style w:type="paragraph" w:styleId="Index1">
    <w:name w:val="index 1"/>
    <w:basedOn w:val="Normal"/>
    <w:next w:val="Normal"/>
    <w:semiHidden/>
    <w:rsid w:val="00A500D3"/>
    <w:pPr>
      <w:keepNext w:val="0"/>
      <w:tabs>
        <w:tab w:val="right" w:pos="4176"/>
      </w:tabs>
      <w:ind w:left="198" w:hanging="198"/>
    </w:pPr>
    <w:rPr>
      <w:rFonts w:ascii="Garamond" w:hAnsi="Garamond"/>
    </w:rPr>
  </w:style>
  <w:style w:type="paragraph" w:styleId="IndexHeading">
    <w:name w:val="index heading"/>
    <w:basedOn w:val="Normal"/>
    <w:next w:val="Index1"/>
    <w:semiHidden/>
    <w:rsid w:val="00A500D3"/>
    <w:pPr>
      <w:spacing w:before="120" w:after="120"/>
    </w:pPr>
    <w:rPr>
      <w:rFonts w:ascii="Arial" w:hAnsi="Arial"/>
      <w:b/>
      <w:color w:val="918585"/>
      <w:sz w:val="24"/>
    </w:rPr>
  </w:style>
  <w:style w:type="paragraph" w:styleId="Header">
    <w:name w:val="header"/>
    <w:basedOn w:val="Normal"/>
    <w:link w:val="HeaderChar"/>
    <w:rsid w:val="00A50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0D3"/>
    <w:rPr>
      <w:rFonts w:ascii="Times New Roman" w:eastAsia="Times New Roman" w:hAnsi="Times New Roman" w:cs="Times New Roman"/>
      <w:sz w:val="16"/>
      <w:szCs w:val="20"/>
      <w:lang w:val="en-GB" w:eastAsia="en-US"/>
    </w:rPr>
  </w:style>
  <w:style w:type="paragraph" w:customStyle="1" w:styleId="Chapter">
    <w:name w:val="Chapter"/>
    <w:basedOn w:val="Normal"/>
    <w:rsid w:val="00A500D3"/>
    <w:pPr>
      <w:spacing w:before="240"/>
    </w:pPr>
    <w:rPr>
      <w:rFonts w:ascii="Times New Roman" w:hAnsi="Times New Roman"/>
      <w:smallCaps/>
      <w:spacing w:val="80"/>
      <w:sz w:val="28"/>
    </w:rPr>
  </w:style>
  <w:style w:type="paragraph" w:customStyle="1" w:styleId="InChapter">
    <w:name w:val="InChapter"/>
    <w:basedOn w:val="Heading3"/>
    <w:rsid w:val="00A500D3"/>
    <w:pPr>
      <w:spacing w:after="240"/>
      <w:outlineLvl w:val="9"/>
    </w:pPr>
    <w:rPr>
      <w:noProof/>
    </w:rPr>
  </w:style>
  <w:style w:type="paragraph" w:styleId="Index2">
    <w:name w:val="index 2"/>
    <w:basedOn w:val="Normal"/>
    <w:next w:val="Normal"/>
    <w:semiHidden/>
    <w:rsid w:val="00A500D3"/>
    <w:pPr>
      <w:tabs>
        <w:tab w:val="right" w:pos="4176"/>
      </w:tabs>
      <w:ind w:left="568" w:hanging="284"/>
    </w:pPr>
    <w:rPr>
      <w:rFonts w:ascii="Garamond" w:hAnsi="Garamond"/>
    </w:rPr>
  </w:style>
  <w:style w:type="paragraph" w:customStyle="1" w:styleId="Byline">
    <w:name w:val="Byline"/>
    <w:rsid w:val="00A50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0D3"/>
    <w:pPr>
      <w:tabs>
        <w:tab w:val="clear" w:pos="3600"/>
        <w:tab w:val="clear" w:pos="3958"/>
      </w:tabs>
      <w:jc w:val="right"/>
    </w:pPr>
  </w:style>
  <w:style w:type="character" w:styleId="Emphasis">
    <w:name w:val="Emphasis"/>
    <w:basedOn w:val="DefaultParagraphFont"/>
    <w:qFormat/>
    <w:rsid w:val="00A500D3"/>
    <w:rPr>
      <w:i/>
    </w:rPr>
  </w:style>
  <w:style w:type="paragraph" w:styleId="Caption">
    <w:name w:val="caption"/>
    <w:basedOn w:val="BodyText"/>
    <w:next w:val="Normal"/>
    <w:qFormat/>
    <w:rsid w:val="00A500D3"/>
    <w:pPr>
      <w:framePr w:w="2268" w:hSpace="181" w:vSpace="181" w:wrap="around" w:vAnchor="text" w:hAnchor="page" w:x="1135" w:y="285" w:anchorLock="1"/>
    </w:pPr>
    <w:rPr>
      <w:i/>
    </w:rPr>
  </w:style>
  <w:style w:type="paragraph" w:customStyle="1" w:styleId="MiniTOCTitle">
    <w:name w:val="MiniTOCTitle"/>
    <w:basedOn w:val="Heading4"/>
    <w:rsid w:val="00A500D3"/>
    <w:pPr>
      <w:spacing w:before="240"/>
      <w:outlineLvl w:val="9"/>
    </w:pPr>
    <w:rPr>
      <w:noProof/>
      <w:sz w:val="24"/>
    </w:rPr>
  </w:style>
  <w:style w:type="paragraph" w:customStyle="1" w:styleId="MiniTOCItem">
    <w:name w:val="MiniTOCItem"/>
    <w:basedOn w:val="ListBullet"/>
    <w:rsid w:val="00A500D3"/>
    <w:pPr>
      <w:numPr>
        <w:numId w:val="0"/>
      </w:numPr>
      <w:tabs>
        <w:tab w:val="right" w:leader="dot" w:pos="6521"/>
      </w:tabs>
      <w:spacing w:before="0" w:after="0"/>
    </w:pPr>
  </w:style>
  <w:style w:type="paragraph" w:customStyle="1" w:styleId="TOFTitle">
    <w:name w:val="TOFTitle"/>
    <w:basedOn w:val="TOCTitle"/>
    <w:rsid w:val="00A500D3"/>
  </w:style>
  <w:style w:type="paragraph" w:styleId="TableofFigures">
    <w:name w:val="table of figures"/>
    <w:basedOn w:val="Normal"/>
    <w:next w:val="Normal"/>
    <w:semiHidden/>
    <w:rsid w:val="00A500D3"/>
    <w:pPr>
      <w:tabs>
        <w:tab w:val="right" w:leader="dot" w:pos="9072"/>
      </w:tabs>
      <w:ind w:left="970" w:hanging="403"/>
    </w:pPr>
    <w:rPr>
      <w:rFonts w:ascii="Times New Roman" w:hAnsi="Times New Roman"/>
      <w:b/>
    </w:rPr>
  </w:style>
  <w:style w:type="paragraph" w:styleId="ListNumber">
    <w:name w:val="List Number"/>
    <w:basedOn w:val="List"/>
    <w:rsid w:val="00A500D3"/>
    <w:pPr>
      <w:numPr>
        <w:numId w:val="13"/>
      </w:numPr>
      <w:tabs>
        <w:tab w:val="clear" w:pos="340"/>
      </w:tabs>
    </w:pPr>
  </w:style>
  <w:style w:type="character" w:customStyle="1" w:styleId="WingdingSymbols">
    <w:name w:val="Wingding Symbols"/>
    <w:rsid w:val="00A500D3"/>
    <w:rPr>
      <w:rFonts w:ascii="Wingdings" w:hAnsi="Wingdings"/>
    </w:rPr>
  </w:style>
  <w:style w:type="paragraph" w:customStyle="1" w:styleId="TableHeading">
    <w:name w:val="Table Heading"/>
    <w:basedOn w:val="HeadingBase"/>
    <w:rsid w:val="00A500D3"/>
    <w:pPr>
      <w:keepLines/>
      <w:pBdr>
        <w:bottom w:val="single" w:sz="6" w:space="1" w:color="918585"/>
      </w:pBdr>
      <w:spacing w:before="240"/>
    </w:pPr>
  </w:style>
  <w:style w:type="character" w:customStyle="1" w:styleId="HotSpot">
    <w:name w:val="HotSpot"/>
    <w:rsid w:val="00A500D3"/>
    <w:rPr>
      <w:color w:val="0033CC"/>
      <w:u w:val="none"/>
    </w:rPr>
  </w:style>
  <w:style w:type="paragraph" w:customStyle="1" w:styleId="BodyTextRight">
    <w:name w:val="Body Text Right"/>
    <w:basedOn w:val="BodyText"/>
    <w:rsid w:val="00A500D3"/>
    <w:pPr>
      <w:spacing w:before="0" w:after="0"/>
      <w:jc w:val="right"/>
    </w:pPr>
  </w:style>
  <w:style w:type="paragraph" w:styleId="Index3">
    <w:name w:val="index 3"/>
    <w:basedOn w:val="ListNumber2"/>
    <w:next w:val="Normal"/>
    <w:semiHidden/>
    <w:rsid w:val="00A500D3"/>
    <w:pPr>
      <w:numPr>
        <w:numId w:val="0"/>
      </w:numPr>
      <w:tabs>
        <w:tab w:val="right" w:leader="dot" w:pos="4176"/>
      </w:tabs>
    </w:pPr>
  </w:style>
  <w:style w:type="paragraph" w:styleId="ListNumber2">
    <w:name w:val="List Number 2"/>
    <w:basedOn w:val="List2"/>
    <w:rsid w:val="00A500D3"/>
    <w:pPr>
      <w:numPr>
        <w:numId w:val="8"/>
      </w:numPr>
      <w:tabs>
        <w:tab w:val="clear" w:pos="1060"/>
      </w:tabs>
    </w:pPr>
  </w:style>
  <w:style w:type="paragraph" w:customStyle="1" w:styleId="MarginNote">
    <w:name w:val="Margin Note"/>
    <w:basedOn w:val="BodyText"/>
    <w:rsid w:val="00A50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0D3"/>
    <w:rPr>
      <w:sz w:val="32"/>
    </w:rPr>
  </w:style>
  <w:style w:type="paragraph" w:customStyle="1" w:styleId="HeadingProcedure">
    <w:name w:val="Heading Procedure"/>
    <w:basedOn w:val="HeadingBase"/>
    <w:next w:val="Normal"/>
    <w:rsid w:val="00A500D3"/>
    <w:pPr>
      <w:tabs>
        <w:tab w:val="left" w:pos="0"/>
      </w:tabs>
      <w:spacing w:before="120" w:after="60"/>
    </w:pPr>
    <w:rPr>
      <w:i/>
      <w:color w:val="918585"/>
      <w:sz w:val="22"/>
    </w:rPr>
  </w:style>
  <w:style w:type="paragraph" w:customStyle="1" w:styleId="TableBodyText">
    <w:name w:val="Table Body Text"/>
    <w:basedOn w:val="BodyText"/>
    <w:rsid w:val="00A500D3"/>
    <w:pPr>
      <w:spacing w:before="60" w:after="60"/>
    </w:pPr>
  </w:style>
  <w:style w:type="paragraph" w:styleId="ListContinue">
    <w:name w:val="List Continue"/>
    <w:basedOn w:val="List"/>
    <w:rsid w:val="00A500D3"/>
    <w:pPr>
      <w:ind w:firstLine="0"/>
    </w:pPr>
  </w:style>
  <w:style w:type="paragraph" w:customStyle="1" w:styleId="ListNote">
    <w:name w:val="List Note"/>
    <w:basedOn w:val="List"/>
    <w:rsid w:val="00A500D3"/>
    <w:pPr>
      <w:pBdr>
        <w:top w:val="single" w:sz="6" w:space="2" w:color="918585"/>
        <w:bottom w:val="single" w:sz="6" w:space="2" w:color="918585"/>
      </w:pBdr>
      <w:tabs>
        <w:tab w:val="left" w:pos="1021"/>
      </w:tabs>
      <w:ind w:firstLine="0"/>
    </w:pPr>
  </w:style>
  <w:style w:type="paragraph" w:customStyle="1" w:styleId="Warning">
    <w:name w:val="Warning"/>
    <w:basedOn w:val="BodyText"/>
    <w:rsid w:val="00A500D3"/>
    <w:pPr>
      <w:shd w:val="clear" w:color="auto" w:fill="D9D9D9"/>
      <w:tabs>
        <w:tab w:val="left" w:pos="992"/>
      </w:tabs>
      <w:ind w:left="119" w:right="119"/>
    </w:pPr>
    <w:rPr>
      <w:sz w:val="20"/>
    </w:rPr>
  </w:style>
  <w:style w:type="paragraph" w:customStyle="1" w:styleId="MarginIcons">
    <w:name w:val="Margin Icons"/>
    <w:basedOn w:val="BodyText"/>
    <w:rsid w:val="00A50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0D3"/>
    <w:rPr>
      <w:rFonts w:ascii="Courier New" w:hAnsi="Courier New"/>
    </w:rPr>
  </w:style>
  <w:style w:type="paragraph" w:customStyle="1" w:styleId="NoteBullet">
    <w:name w:val="Note Bullet"/>
    <w:basedOn w:val="Note"/>
    <w:rsid w:val="00A500D3"/>
    <w:pPr>
      <w:tabs>
        <w:tab w:val="clear" w:pos="680"/>
      </w:tabs>
      <w:spacing w:before="60" w:after="60"/>
    </w:pPr>
  </w:style>
  <w:style w:type="paragraph" w:customStyle="1" w:styleId="SubHeading2">
    <w:name w:val="SubHeading2"/>
    <w:basedOn w:val="HeadingBase"/>
    <w:rsid w:val="00A500D3"/>
    <w:pPr>
      <w:spacing w:before="240" w:after="60"/>
    </w:pPr>
    <w:rPr>
      <w:sz w:val="20"/>
    </w:rPr>
  </w:style>
  <w:style w:type="paragraph" w:customStyle="1" w:styleId="SubHeading1">
    <w:name w:val="SubHeading1"/>
    <w:basedOn w:val="HeadingBase"/>
    <w:rsid w:val="00A500D3"/>
    <w:pPr>
      <w:spacing w:before="240" w:after="60"/>
    </w:pPr>
    <w:rPr>
      <w:color w:val="918585"/>
      <w:sz w:val="22"/>
    </w:rPr>
  </w:style>
  <w:style w:type="paragraph" w:customStyle="1" w:styleId="SideHeading">
    <w:name w:val="Side Heading"/>
    <w:basedOn w:val="HeadingBase"/>
    <w:rsid w:val="00A50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0D3"/>
    <w:pPr>
      <w:numPr>
        <w:numId w:val="9"/>
      </w:numPr>
    </w:pPr>
  </w:style>
  <w:style w:type="paragraph" w:styleId="PlainText">
    <w:name w:val="Plain Text"/>
    <w:basedOn w:val="Normal"/>
    <w:link w:val="PlainTextChar"/>
    <w:rsid w:val="00A500D3"/>
    <w:rPr>
      <w:sz w:val="20"/>
    </w:rPr>
  </w:style>
  <w:style w:type="character" w:customStyle="1" w:styleId="PlainTextChar">
    <w:name w:val="Plain Text Char"/>
    <w:basedOn w:val="DefaultParagraphFont"/>
    <w:link w:val="PlainText"/>
    <w:rsid w:val="00A500D3"/>
    <w:rPr>
      <w:rFonts w:ascii="Courier New" w:eastAsia="Times New Roman" w:hAnsi="Courier New" w:cs="Times New Roman"/>
      <w:sz w:val="20"/>
      <w:szCs w:val="20"/>
      <w:lang w:eastAsia="en-US"/>
    </w:rPr>
  </w:style>
  <w:style w:type="character" w:customStyle="1" w:styleId="MenuOption">
    <w:name w:val="Menu Option"/>
    <w:basedOn w:val="DefaultParagraphFont"/>
    <w:rsid w:val="00A500D3"/>
    <w:rPr>
      <w:b/>
      <w:smallCaps/>
    </w:rPr>
  </w:style>
  <w:style w:type="paragraph" w:customStyle="1" w:styleId="TableListNumber">
    <w:name w:val="Table List Number"/>
    <w:basedOn w:val="ListNumber"/>
    <w:rsid w:val="00A500D3"/>
    <w:pPr>
      <w:numPr>
        <w:numId w:val="0"/>
      </w:numPr>
    </w:pPr>
  </w:style>
  <w:style w:type="paragraph" w:styleId="TOC4">
    <w:name w:val="toc 4"/>
    <w:basedOn w:val="TOCBase"/>
    <w:next w:val="Normal"/>
    <w:semiHidden/>
    <w:rsid w:val="00A500D3"/>
    <w:pPr>
      <w:tabs>
        <w:tab w:val="right" w:leader="dot" w:pos="9071"/>
      </w:tabs>
      <w:ind w:left="1701"/>
    </w:pPr>
  </w:style>
  <w:style w:type="paragraph" w:customStyle="1" w:styleId="ListAlpha">
    <w:name w:val="List Alpha"/>
    <w:basedOn w:val="List"/>
    <w:rsid w:val="00A500D3"/>
    <w:pPr>
      <w:numPr>
        <w:numId w:val="7"/>
      </w:numPr>
    </w:pPr>
  </w:style>
  <w:style w:type="paragraph" w:customStyle="1" w:styleId="ListAlpha2">
    <w:name w:val="List Alpha 2"/>
    <w:basedOn w:val="List2"/>
    <w:rsid w:val="00A500D3"/>
    <w:pPr>
      <w:numPr>
        <w:numId w:val="6"/>
      </w:numPr>
    </w:pPr>
  </w:style>
  <w:style w:type="paragraph" w:styleId="List2">
    <w:name w:val="List 2"/>
    <w:basedOn w:val="BodyText"/>
    <w:rsid w:val="00A500D3"/>
    <w:pPr>
      <w:tabs>
        <w:tab w:val="left" w:pos="680"/>
      </w:tabs>
      <w:spacing w:before="60" w:after="60"/>
      <w:ind w:left="680" w:hanging="340"/>
    </w:pPr>
  </w:style>
  <w:style w:type="paragraph" w:styleId="List3">
    <w:name w:val="List 3"/>
    <w:basedOn w:val="BodyText"/>
    <w:rsid w:val="00A500D3"/>
    <w:pPr>
      <w:tabs>
        <w:tab w:val="left" w:pos="1021"/>
      </w:tabs>
      <w:spacing w:before="60" w:after="60"/>
      <w:ind w:left="1020" w:hanging="340"/>
    </w:pPr>
  </w:style>
  <w:style w:type="paragraph" w:styleId="List4">
    <w:name w:val="List 4"/>
    <w:basedOn w:val="BodyText"/>
    <w:rsid w:val="00A500D3"/>
    <w:pPr>
      <w:tabs>
        <w:tab w:val="left" w:pos="1361"/>
      </w:tabs>
      <w:spacing w:before="60" w:after="60"/>
      <w:ind w:left="1361" w:hanging="340"/>
    </w:pPr>
  </w:style>
  <w:style w:type="paragraph" w:styleId="List5">
    <w:name w:val="List 5"/>
    <w:basedOn w:val="BodyText"/>
    <w:rsid w:val="00A500D3"/>
    <w:pPr>
      <w:tabs>
        <w:tab w:val="left" w:pos="1701"/>
      </w:tabs>
      <w:spacing w:before="60" w:after="60"/>
      <w:ind w:left="1701" w:hanging="340"/>
    </w:pPr>
  </w:style>
  <w:style w:type="paragraph" w:styleId="ListBullet3">
    <w:name w:val="List Bullet 3"/>
    <w:basedOn w:val="List3"/>
    <w:rsid w:val="00A500D3"/>
    <w:pPr>
      <w:numPr>
        <w:numId w:val="12"/>
      </w:numPr>
      <w:tabs>
        <w:tab w:val="clear" w:pos="1021"/>
      </w:tabs>
      <w:ind w:left="1037" w:hanging="357"/>
    </w:pPr>
  </w:style>
  <w:style w:type="paragraph" w:styleId="ListBullet4">
    <w:name w:val="List Bullet 4"/>
    <w:basedOn w:val="List4"/>
    <w:rsid w:val="00A500D3"/>
    <w:pPr>
      <w:numPr>
        <w:numId w:val="1"/>
      </w:numPr>
      <w:tabs>
        <w:tab w:val="clear" w:pos="1361"/>
      </w:tabs>
    </w:pPr>
  </w:style>
  <w:style w:type="paragraph" w:styleId="ListBullet5">
    <w:name w:val="List Bullet 5"/>
    <w:basedOn w:val="List5"/>
    <w:rsid w:val="00A500D3"/>
    <w:pPr>
      <w:numPr>
        <w:numId w:val="2"/>
      </w:numPr>
    </w:pPr>
  </w:style>
  <w:style w:type="paragraph" w:styleId="ListContinue2">
    <w:name w:val="List Continue 2"/>
    <w:basedOn w:val="List2"/>
    <w:rsid w:val="00A500D3"/>
    <w:pPr>
      <w:ind w:firstLine="0"/>
    </w:pPr>
  </w:style>
  <w:style w:type="paragraph" w:styleId="ListContinue3">
    <w:name w:val="List Continue 3"/>
    <w:basedOn w:val="List3"/>
    <w:rsid w:val="00A500D3"/>
    <w:pPr>
      <w:ind w:left="1021" w:firstLine="0"/>
    </w:pPr>
  </w:style>
  <w:style w:type="paragraph" w:styleId="ListContinue4">
    <w:name w:val="List Continue 4"/>
    <w:basedOn w:val="List4"/>
    <w:rsid w:val="00A500D3"/>
    <w:pPr>
      <w:ind w:firstLine="0"/>
    </w:pPr>
  </w:style>
  <w:style w:type="paragraph" w:styleId="ListContinue5">
    <w:name w:val="List Continue 5"/>
    <w:basedOn w:val="List5"/>
    <w:rsid w:val="00A500D3"/>
    <w:pPr>
      <w:ind w:firstLine="0"/>
    </w:pPr>
  </w:style>
  <w:style w:type="paragraph" w:styleId="ListNumber3">
    <w:name w:val="List Number 3"/>
    <w:basedOn w:val="List3"/>
    <w:rsid w:val="00A500D3"/>
    <w:pPr>
      <w:numPr>
        <w:numId w:val="3"/>
      </w:numPr>
    </w:pPr>
  </w:style>
  <w:style w:type="paragraph" w:styleId="ListNumber4">
    <w:name w:val="List Number 4"/>
    <w:basedOn w:val="List4"/>
    <w:rsid w:val="00A500D3"/>
    <w:pPr>
      <w:numPr>
        <w:numId w:val="4"/>
      </w:numPr>
    </w:pPr>
  </w:style>
  <w:style w:type="paragraph" w:styleId="ListNumber5">
    <w:name w:val="List Number 5"/>
    <w:basedOn w:val="List5"/>
    <w:rsid w:val="00A500D3"/>
    <w:pPr>
      <w:numPr>
        <w:numId w:val="5"/>
      </w:numPr>
    </w:pPr>
  </w:style>
  <w:style w:type="paragraph" w:styleId="BlockText">
    <w:name w:val="Block Text"/>
    <w:basedOn w:val="Normal"/>
    <w:rsid w:val="00A500D3"/>
    <w:pPr>
      <w:spacing w:after="120"/>
      <w:ind w:left="1440" w:right="1440"/>
    </w:pPr>
  </w:style>
  <w:style w:type="character" w:customStyle="1" w:styleId="Subscript">
    <w:name w:val="Subscript"/>
    <w:basedOn w:val="DefaultParagraphFont"/>
    <w:rsid w:val="00A500D3"/>
    <w:rPr>
      <w:sz w:val="16"/>
      <w:vertAlign w:val="subscript"/>
    </w:rPr>
  </w:style>
  <w:style w:type="character" w:customStyle="1" w:styleId="Superscript">
    <w:name w:val="Superscript"/>
    <w:basedOn w:val="DefaultParagraphFont"/>
    <w:rsid w:val="00A500D3"/>
    <w:rPr>
      <w:sz w:val="16"/>
      <w:vertAlign w:val="superscript"/>
    </w:rPr>
  </w:style>
  <w:style w:type="character" w:customStyle="1" w:styleId="Symbols">
    <w:name w:val="Symbols"/>
    <w:basedOn w:val="DefaultParagraphFont"/>
    <w:rsid w:val="00A500D3"/>
    <w:rPr>
      <w:rFonts w:ascii="Symbol" w:hAnsi="Symbol"/>
    </w:rPr>
  </w:style>
  <w:style w:type="character" w:customStyle="1" w:styleId="MenuOptions">
    <w:name w:val="Menu Options"/>
    <w:basedOn w:val="DefaultParagraphFont"/>
    <w:rsid w:val="00A500D3"/>
    <w:rPr>
      <w:rFonts w:ascii="Arial Narrow" w:hAnsi="Arial Narrow"/>
      <w:smallCaps/>
    </w:rPr>
  </w:style>
  <w:style w:type="character" w:customStyle="1" w:styleId="Buttons">
    <w:name w:val="Buttons"/>
    <w:basedOn w:val="DefaultParagraphFont"/>
    <w:rsid w:val="00A500D3"/>
    <w:rPr>
      <w:b/>
    </w:rPr>
  </w:style>
  <w:style w:type="character" w:customStyle="1" w:styleId="Underlined">
    <w:name w:val="Underlined"/>
    <w:basedOn w:val="DefaultParagraphFont"/>
    <w:rsid w:val="00A500D3"/>
    <w:rPr>
      <w:u w:val="single"/>
    </w:rPr>
  </w:style>
  <w:style w:type="paragraph" w:customStyle="1" w:styleId="TableBodyTextRight">
    <w:name w:val="Table Body Text Right"/>
    <w:basedOn w:val="TableBodyText"/>
    <w:rsid w:val="00A500D3"/>
    <w:pPr>
      <w:widowControl w:val="0"/>
      <w:autoSpaceDE w:val="0"/>
      <w:autoSpaceDN w:val="0"/>
      <w:adjustRightInd w:val="0"/>
      <w:jc w:val="right"/>
    </w:pPr>
    <w:rPr>
      <w:rFonts w:cs="Arial"/>
      <w:szCs w:val="18"/>
    </w:rPr>
  </w:style>
  <w:style w:type="paragraph" w:customStyle="1" w:styleId="CopyrightText">
    <w:name w:val="Copyright Text"/>
    <w:basedOn w:val="BodyText"/>
    <w:rsid w:val="00A500D3"/>
    <w:rPr>
      <w:sz w:val="18"/>
    </w:rPr>
  </w:style>
  <w:style w:type="paragraph" w:customStyle="1" w:styleId="BodySmallRight">
    <w:name w:val="Body Small Right"/>
    <w:basedOn w:val="BodyTextRight"/>
    <w:rsid w:val="00A500D3"/>
    <w:rPr>
      <w:sz w:val="18"/>
      <w:szCs w:val="18"/>
    </w:rPr>
  </w:style>
  <w:style w:type="paragraph" w:customStyle="1" w:styleId="MarginEdition">
    <w:name w:val="Margin Edition"/>
    <w:basedOn w:val="MarginNote"/>
    <w:rsid w:val="00A500D3"/>
    <w:pPr>
      <w:spacing w:before="0" w:after="0"/>
    </w:pPr>
    <w:rPr>
      <w:rFonts w:ascii="Times New Roman" w:hAnsi="Times New Roman"/>
      <w:color w:val="999999"/>
    </w:rPr>
  </w:style>
  <w:style w:type="paragraph" w:customStyle="1" w:styleId="Spacer">
    <w:name w:val="Spacer"/>
    <w:basedOn w:val="Normal"/>
    <w:rsid w:val="00A500D3"/>
    <w:rPr>
      <w:sz w:val="2"/>
      <w:szCs w:val="2"/>
    </w:rPr>
  </w:style>
  <w:style w:type="character" w:customStyle="1" w:styleId="Small">
    <w:name w:val="Small"/>
    <w:basedOn w:val="DefaultParagraphFont"/>
    <w:rsid w:val="00A500D3"/>
    <w:rPr>
      <w:sz w:val="16"/>
    </w:rPr>
  </w:style>
  <w:style w:type="paragraph" w:customStyle="1" w:styleId="WideTable">
    <w:name w:val="Wide Table"/>
    <w:basedOn w:val="Normal"/>
    <w:rsid w:val="00A500D3"/>
    <w:pPr>
      <w:ind w:left="-1418"/>
    </w:pPr>
    <w:rPr>
      <w:sz w:val="2"/>
      <w:szCs w:val="2"/>
    </w:rPr>
  </w:style>
  <w:style w:type="character" w:styleId="PageNumber">
    <w:name w:val="page number"/>
    <w:basedOn w:val="DefaultParagraphFont"/>
    <w:rsid w:val="00A500D3"/>
  </w:style>
  <w:style w:type="paragraph" w:styleId="Quote">
    <w:name w:val="Quote"/>
    <w:basedOn w:val="Heading1"/>
    <w:link w:val="QuoteChar"/>
    <w:qFormat/>
    <w:rsid w:val="00A500D3"/>
    <w:rPr>
      <w:b w:val="0"/>
      <w:sz w:val="72"/>
      <w:szCs w:val="72"/>
      <w:lang w:val="en-NZ"/>
    </w:rPr>
  </w:style>
  <w:style w:type="character" w:customStyle="1" w:styleId="QuoteChar">
    <w:name w:val="Quote Char"/>
    <w:basedOn w:val="DefaultParagraphFont"/>
    <w:link w:val="Quote"/>
    <w:rsid w:val="00A50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0D3"/>
    <w:pPr>
      <w:pageBreakBefore/>
    </w:pPr>
  </w:style>
  <w:style w:type="paragraph" w:customStyle="1" w:styleId="Border">
    <w:name w:val="Border"/>
    <w:basedOn w:val="Normal"/>
    <w:qFormat/>
    <w:rsid w:val="00A50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0D3"/>
    <w:rPr>
      <w:b/>
      <w:bCs/>
      <w:i/>
      <w:iCs/>
      <w:color w:val="auto"/>
    </w:rPr>
  </w:style>
  <w:style w:type="paragraph" w:styleId="IntenseQuote">
    <w:name w:val="Intense Quote"/>
    <w:basedOn w:val="Normal"/>
    <w:next w:val="Normal"/>
    <w:link w:val="IntenseQuoteChar"/>
    <w:uiPriority w:val="30"/>
    <w:qFormat/>
    <w:rsid w:val="00A50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0D3"/>
    <w:rPr>
      <w:smallCaps/>
      <w:color w:val="auto"/>
      <w:u w:val="single"/>
    </w:rPr>
  </w:style>
  <w:style w:type="character" w:styleId="IntenseReference">
    <w:name w:val="Intense Reference"/>
    <w:basedOn w:val="DefaultParagraphFont"/>
    <w:uiPriority w:val="32"/>
    <w:qFormat/>
    <w:rsid w:val="00A500D3"/>
    <w:rPr>
      <w:b/>
      <w:bCs/>
      <w:smallCaps/>
      <w:color w:val="auto"/>
      <w:spacing w:val="5"/>
      <w:u w:val="single"/>
    </w:rPr>
  </w:style>
  <w:style w:type="paragraph" w:customStyle="1" w:styleId="2ColumnHeading">
    <w:name w:val="2Column Heading"/>
    <w:basedOn w:val="BodyText"/>
    <w:qFormat/>
    <w:rsid w:val="00A500D3"/>
    <w:pPr>
      <w:spacing w:after="60"/>
      <w:ind w:left="-2268"/>
    </w:pPr>
    <w:rPr>
      <w:b/>
    </w:rPr>
  </w:style>
  <w:style w:type="paragraph" w:customStyle="1" w:styleId="Heading1TOC">
    <w:name w:val="Heading1 TOC"/>
    <w:basedOn w:val="Normal"/>
    <w:qFormat/>
    <w:rsid w:val="00A500D3"/>
    <w:pPr>
      <w:spacing w:before="240" w:after="120"/>
    </w:pPr>
    <w:rPr>
      <w:rFonts w:ascii="Times New Roman" w:hAnsi="Times New Roman"/>
      <w:b/>
      <w:sz w:val="32"/>
    </w:rPr>
  </w:style>
  <w:style w:type="paragraph" w:customStyle="1" w:styleId="Heading2TOC">
    <w:name w:val="Heading2 TOC"/>
    <w:basedOn w:val="Normal"/>
    <w:qFormat/>
    <w:rsid w:val="00A500D3"/>
    <w:pPr>
      <w:spacing w:before="240" w:after="60"/>
    </w:pPr>
    <w:rPr>
      <w:rFonts w:ascii="Times New Roman" w:hAnsi="Times New Roman"/>
      <w:b/>
      <w:sz w:val="28"/>
    </w:rPr>
  </w:style>
  <w:style w:type="character" w:customStyle="1" w:styleId="Underline">
    <w:name w:val="Underline"/>
    <w:basedOn w:val="DefaultParagraphFont"/>
    <w:qFormat/>
    <w:rsid w:val="00A500D3"/>
    <w:rPr>
      <w:u w:val="single"/>
    </w:rPr>
  </w:style>
  <w:style w:type="character" w:customStyle="1" w:styleId="BoldandItalics">
    <w:name w:val="Bold and Italics"/>
    <w:qFormat/>
    <w:rsid w:val="00A500D3"/>
    <w:rPr>
      <w:b/>
      <w:i/>
      <w:u w:val="none"/>
    </w:rPr>
  </w:style>
  <w:style w:type="paragraph" w:styleId="BalloonText">
    <w:name w:val="Balloon Text"/>
    <w:basedOn w:val="Normal"/>
    <w:link w:val="BalloonTextChar"/>
    <w:rsid w:val="00A500D3"/>
    <w:rPr>
      <w:rFonts w:ascii="Tahoma" w:hAnsi="Tahoma" w:cs="Tahoma"/>
      <w:sz w:val="16"/>
      <w:szCs w:val="16"/>
    </w:rPr>
  </w:style>
  <w:style w:type="character" w:customStyle="1" w:styleId="BalloonTextChar">
    <w:name w:val="Balloon Text Char"/>
    <w:basedOn w:val="DefaultParagraphFont"/>
    <w:link w:val="BalloonText"/>
    <w:rsid w:val="00A50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0D3"/>
    <w:rPr>
      <w:b/>
      <w:color w:val="660033"/>
      <w:spacing w:val="0"/>
    </w:rPr>
  </w:style>
  <w:style w:type="paragraph" w:customStyle="1" w:styleId="Nameditemlist">
    <w:name w:val="Named item list"/>
    <w:basedOn w:val="BodyText"/>
    <w:qFormat/>
    <w:rsid w:val="00A500D3"/>
    <w:pPr>
      <w:tabs>
        <w:tab w:val="left" w:pos="2835"/>
      </w:tabs>
      <w:ind w:left="2835" w:hanging="2835"/>
    </w:pPr>
  </w:style>
  <w:style w:type="paragraph" w:customStyle="1" w:styleId="BodyTextnopadding">
    <w:name w:val="Body Text no padding"/>
    <w:basedOn w:val="BodyText"/>
    <w:qFormat/>
    <w:rsid w:val="00A500D3"/>
    <w:pPr>
      <w:spacing w:before="0" w:after="0"/>
    </w:pPr>
  </w:style>
  <w:style w:type="paragraph" w:customStyle="1" w:styleId="BodyTextBold">
    <w:name w:val="Body Text Bold"/>
    <w:basedOn w:val="BodyText"/>
    <w:qFormat/>
    <w:rsid w:val="00A500D3"/>
    <w:rPr>
      <w:b/>
    </w:rPr>
  </w:style>
  <w:style w:type="character" w:styleId="Hyperlink">
    <w:name w:val="Hyperlink"/>
    <w:basedOn w:val="DefaultParagraphFont"/>
    <w:uiPriority w:val="99"/>
    <w:unhideWhenUsed/>
    <w:rsid w:val="00C311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3708</Characters>
  <Application>Microsoft Office Word</Application>
  <DocSecurity>0</DocSecurity>
  <Lines>176</Lines>
  <Paragraphs>86</Paragraphs>
  <ScaleCrop>false</ScaleCrop>
  <Company>Author-it Software Corporation Ltd.</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TLIX0009X Employ digital supply chain risk management practices</dc:title>
  <dc:subject>Approved</dc:subject>
  <dc:creator>Industry Skills Australia</dc:creator>
  <cp:keywords>Release: 1</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