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A18" w:rsidP="007F7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TLIX0009X Employ digital supply chain risk management practices</w:t>
      </w:r>
      <w:r>
        <w:fldChar w:fldCharType="end"/>
      </w:r>
    </w:p>
    <w:p w:rsidR="007F7A18" w:rsidP="007F7A18">
      <w:pPr>
        <w:pStyle w:val="Version"/>
        <w:sectPr w:rsidSect="00D97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F78" w:rsidP="00D97F78">
      <w:pPr>
        <w:pStyle w:val="SuperHeading"/>
      </w:pPr>
      <w:r w:rsidRPr="00D97F78">
        <w:t>Assessment Requirements for TLIX0009X Employ digital supply chain risk management practices</w:t>
      </w:r>
    </w:p>
    <w:p w:rsidR="00000000" w:rsidRPr="00D97F78" w:rsidP="00D97F78">
      <w:pPr>
        <w:pStyle w:val="Heading1"/>
      </w:pPr>
      <w:bookmarkStart w:id="1" w:name="O_1066263"/>
      <w:bookmarkEnd w:id="1"/>
      <w:r w:rsidRPr="00D97F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F78" w:rsidP="00D97F78">
            <w:pPr>
              <w:pStyle w:val="BodyText"/>
            </w:pPr>
            <w:r w:rsidRPr="00D97F78">
              <w:rPr>
                <w:rStyle w:val="SpecialBold"/>
              </w:rPr>
              <w:t xml:space="preserve">Release 1. </w:t>
            </w:r>
            <w:r w:rsidRPr="00D97F78">
              <w:t>This is the first release of this unit of competency in the TLI Transport and Logistics Training Package.</w:t>
            </w:r>
          </w:p>
        </w:tc>
      </w:tr>
    </w:tbl>
    <w:p w:rsidR="00000000" w:rsidRPr="00D97F78" w:rsidP="00D97F78">
      <w:pPr>
        <w:pStyle w:val="NoPaddingFontSize1"/>
      </w:pPr>
    </w:p>
    <w:p w:rsidR="00000000" w:rsidRPr="00D97F78" w:rsidP="00D97F78">
      <w:pPr>
        <w:pStyle w:val="AllowPageBreak"/>
      </w:pPr>
    </w:p>
    <w:p w:rsidR="00000000" w:rsidRPr="00D97F78" w:rsidP="00D97F78">
      <w:pPr>
        <w:pStyle w:val="Heading1"/>
      </w:pPr>
      <w:bookmarkStart w:id="2" w:name="O_1066264"/>
      <w:bookmarkEnd w:id="2"/>
      <w:r w:rsidRPr="00D97F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F78">
            <w:pPr>
              <w:pStyle w:val="BodyText"/>
              <w:rPr>
                <w:lang w:val="en-NZ"/>
              </w:rPr>
            </w:pPr>
            <w:r w:rsidRPr="00D97F78">
              <w:t>Evidence required to demonstrate competence in this unit must be relevant to and satisfy all requirements of the elements and performance criteria on at least one occasion and includes</w:t>
            </w:r>
          </w:p>
        </w:tc>
      </w:tr>
      <w:tr w:rsidTr="00D97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F78" w:rsidP="00D97F78">
            <w:pPr>
              <w:pStyle w:val="ListBullet"/>
            </w:pPr>
            <w:r w:rsidRPr="00D97F78">
              <w:t xml:space="preserve">analysing data </w:t>
            </w:r>
          </w:p>
          <w:p w:rsidR="00000000" w:rsidRPr="00D97F78" w:rsidP="00D97F78">
            <w:pPr>
              <w:pStyle w:val="ListBullet"/>
            </w:pPr>
            <w:r w:rsidRPr="00D97F78">
              <w:t>assessing risk</w:t>
            </w:r>
            <w:r w:rsidRPr="00D97F78">
              <w:t xml:space="preserve"> outcomes 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communicating with stakeholders </w:t>
            </w:r>
          </w:p>
          <w:p w:rsidR="00000000" w:rsidRPr="00D97F78" w:rsidP="00D97F78">
            <w:pPr>
              <w:pStyle w:val="ListBullet"/>
            </w:pPr>
            <w:r w:rsidRPr="00D97F78">
              <w:t>determining third party cyber security risks</w:t>
            </w:r>
          </w:p>
          <w:p w:rsidR="00000000" w:rsidRPr="00D97F78" w:rsidP="00D97F78">
            <w:pPr>
              <w:pStyle w:val="ListBullet"/>
            </w:pPr>
            <w:r w:rsidRPr="00D97F78">
              <w:t>developing a risk management system and risk management plan for digital supply chains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documenting continuous improvement actions 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establishing digital supply chain risk management reporting mechanisms </w:t>
            </w:r>
          </w:p>
          <w:p w:rsidR="00000000" w:rsidRPr="00D97F78" w:rsidP="00D97F78">
            <w:pPr>
              <w:pStyle w:val="ListBullet"/>
            </w:pPr>
            <w:r w:rsidRPr="00D97F78">
              <w:t>identifying risks and vulnerabilities in the digital supply chain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implementing digital supply chain risk management practices 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managing responses to unplanned events </w:t>
            </w:r>
          </w:p>
          <w:p w:rsidR="00000000" w:rsidRPr="00D97F78" w:rsidP="00D97F78">
            <w:pPr>
              <w:pStyle w:val="ListBullet"/>
            </w:pPr>
            <w:r w:rsidRPr="00D97F78">
              <w:t>monitoring and as</w:t>
            </w:r>
            <w:r w:rsidRPr="00D97F78">
              <w:t>sessing digital supply chain data related to risk management practices</w:t>
            </w:r>
          </w:p>
          <w:p w:rsidR="00000000" w:rsidRPr="00D97F78" w:rsidP="00D97F78">
            <w:pPr>
              <w:pStyle w:val="ListBullet"/>
            </w:pPr>
            <w:r w:rsidRPr="00D97F78">
              <w:t>preparing reports</w:t>
            </w:r>
          </w:p>
          <w:p w:rsidR="00000000" w:rsidRPr="00D97F78" w:rsidP="00D97F78">
            <w:pPr>
              <w:pStyle w:val="ListBullet"/>
            </w:pPr>
            <w:r w:rsidRPr="00D97F78">
              <w:t>reporting risks to the technological integrity of the digital supply chain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undertaking risk mitigation and reviewing its effectiveness </w:t>
            </w:r>
          </w:p>
          <w:p w:rsidR="00000000" w:rsidRPr="00D97F78" w:rsidP="00D97F78">
            <w:pPr>
              <w:pStyle w:val="ListBullet"/>
            </w:pPr>
            <w:r w:rsidRPr="00D97F78">
              <w:t>using digital supply chain dash</w:t>
            </w:r>
            <w:r w:rsidRPr="00D97F78">
              <w:t xml:space="preserve">board metrics to assess risks, identify causes and inform stakeholders  </w:t>
            </w:r>
          </w:p>
          <w:p w:rsidR="00000000" w:rsidRPr="00D97F78" w:rsidP="00D97F78">
            <w:pPr>
              <w:pStyle w:val="ListBullet"/>
            </w:pPr>
            <w:r w:rsidRPr="00D97F78">
              <w:t>working with risk management policies and procedures.</w:t>
            </w:r>
          </w:p>
        </w:tc>
      </w:tr>
    </w:tbl>
    <w:p w:rsidR="00000000" w:rsidRPr="00D97F78" w:rsidP="00D97F78">
      <w:pPr>
        <w:pStyle w:val="NoPaddingFontSize1"/>
      </w:pPr>
    </w:p>
    <w:p w:rsidR="00000000" w:rsidRPr="00D97F78" w:rsidP="00D97F78">
      <w:pPr>
        <w:pStyle w:val="AllowPageBreak"/>
      </w:pPr>
    </w:p>
    <w:p w:rsidR="00000000" w:rsidRPr="00D97F78" w:rsidP="00D97F78">
      <w:pPr>
        <w:pStyle w:val="Heading1"/>
      </w:pPr>
      <w:bookmarkStart w:id="3" w:name="O_1066265"/>
      <w:bookmarkEnd w:id="3"/>
      <w:r w:rsidRPr="00D97F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F78">
            <w:pPr>
              <w:pStyle w:val="BodyText"/>
              <w:rPr>
                <w:lang w:val="en-NZ"/>
              </w:rPr>
            </w:pPr>
            <w:r w:rsidRPr="00D97F78">
              <w:t xml:space="preserve">Evidence required to demonstrate competence in this unit must be relevant to and satisfy </w:t>
            </w:r>
            <w:r w:rsidRPr="00D97F78">
              <w:t>all requirements of the elements and performance criteria and includes knowledge of</w:t>
            </w:r>
          </w:p>
        </w:tc>
      </w:tr>
      <w:tr w:rsidTr="00D97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F78" w:rsidP="00D97F78">
            <w:pPr>
              <w:pStyle w:val="ListBullet"/>
            </w:pPr>
            <w:r w:rsidRPr="00D97F78">
              <w:t>communication methods and techniques</w:t>
            </w:r>
          </w:p>
          <w:p w:rsidR="00000000" w:rsidRPr="00D97F78" w:rsidP="00D97F78">
            <w:pPr>
              <w:pStyle w:val="ListBullet"/>
            </w:pPr>
            <w:r w:rsidRPr="00D97F78">
              <w:t>continuous improvement principles</w:t>
            </w:r>
          </w:p>
          <w:p w:rsidR="00000000" w:rsidRPr="00D97F78" w:rsidP="00D97F78">
            <w:pPr>
              <w:pStyle w:val="ListBullet"/>
            </w:pPr>
            <w:r w:rsidRPr="00D97F78">
              <w:t>data analysis</w:t>
            </w:r>
          </w:p>
          <w:p w:rsidR="00000000" w:rsidRPr="00D97F78" w:rsidP="00D97F78">
            <w:pPr>
              <w:pStyle w:val="ListBullet"/>
            </w:pPr>
            <w:r w:rsidRPr="00D97F78">
              <w:t>digital supply chain policies and procedures</w:t>
            </w:r>
          </w:p>
          <w:p w:rsidR="00000000" w:rsidRPr="00D97F78" w:rsidP="00D97F78">
            <w:pPr>
              <w:pStyle w:val="ListBullet"/>
            </w:pPr>
            <w:r w:rsidRPr="00D97F78">
              <w:t>digital supply chain stakeholders</w:t>
            </w:r>
          </w:p>
          <w:p w:rsidR="00000000" w:rsidRPr="00D97F78" w:rsidP="00D97F78">
            <w:pPr>
              <w:pStyle w:val="ListBullet"/>
            </w:pPr>
            <w:r w:rsidRPr="00D97F78">
              <w:t>digital supply chain technology</w:t>
            </w:r>
          </w:p>
          <w:p w:rsidR="00000000" w:rsidRPr="00D97F78" w:rsidP="00D97F78">
            <w:pPr>
              <w:pStyle w:val="ListBullet"/>
            </w:pPr>
            <w:r w:rsidRPr="00D97F78">
              <w:t>principles of risk management practice</w:t>
            </w:r>
          </w:p>
          <w:p w:rsidR="00000000" w:rsidRPr="00D97F78" w:rsidP="00D97F78">
            <w:pPr>
              <w:pStyle w:val="ListBullet"/>
            </w:pPr>
            <w:r w:rsidRPr="00D97F78">
              <w:t>report requirements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responses to unplanned digital supply chain events </w:t>
            </w:r>
          </w:p>
          <w:p w:rsidR="00000000" w:rsidRPr="00D97F78" w:rsidP="00D97F78">
            <w:pPr>
              <w:pStyle w:val="ListBullet"/>
            </w:pPr>
            <w:r w:rsidRPr="00D97F78">
              <w:t>risk management plans and risk mitigation</w:t>
            </w:r>
          </w:p>
          <w:p w:rsidR="00000000" w:rsidRPr="00D97F78" w:rsidP="00D97F78">
            <w:pPr>
              <w:pStyle w:val="ListBullet"/>
            </w:pPr>
            <w:r w:rsidRPr="00D97F78">
              <w:t>tools, methods and techniques used for digital supply chain risk manage</w:t>
            </w:r>
            <w:r w:rsidRPr="00D97F78">
              <w:t>ment practice</w:t>
            </w:r>
          </w:p>
          <w:p w:rsidR="00000000" w:rsidRPr="00D97F78" w:rsidP="00D97F78">
            <w:pPr>
              <w:pStyle w:val="ListBullet"/>
            </w:pPr>
            <w:r w:rsidRPr="00D97F78">
              <w:t xml:space="preserve">types of digital supply chain risks including cyber threats.  </w:t>
            </w:r>
          </w:p>
        </w:tc>
      </w:tr>
    </w:tbl>
    <w:p w:rsidR="00000000" w:rsidRPr="00D97F78" w:rsidP="00D97F78">
      <w:pPr>
        <w:pStyle w:val="NoPaddingFontSize1"/>
      </w:pPr>
    </w:p>
    <w:p w:rsidR="00000000" w:rsidRPr="00D97F78" w:rsidP="00D97F78">
      <w:pPr>
        <w:pStyle w:val="AllowPageBreak"/>
      </w:pPr>
    </w:p>
    <w:p w:rsidR="00000000" w:rsidRPr="00D97F78" w:rsidP="00D97F78">
      <w:pPr>
        <w:pStyle w:val="Heading1"/>
      </w:pPr>
      <w:bookmarkStart w:id="4" w:name="O_1066266"/>
      <w:bookmarkEnd w:id="4"/>
      <w:r w:rsidRPr="00D97F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F78" w:rsidP="00D97F78">
            <w:pPr>
              <w:pStyle w:val="BodyText"/>
            </w:pPr>
            <w:r w:rsidRPr="00D97F78">
              <w:t xml:space="preserve">Assessors must hold credentials specified within the Standards for Registered Training Organisations current at the time of assessment. </w:t>
            </w:r>
          </w:p>
          <w:p w:rsidR="00000000" w:rsidRPr="00D97F78" w:rsidP="00D97F78">
            <w:pPr>
              <w:pStyle w:val="BodyText"/>
            </w:pPr>
            <w:r w:rsidRPr="00D97F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97F78" w:rsidP="00D97F78">
            <w:pPr>
              <w:pStyle w:val="BodyText"/>
            </w:pPr>
            <w:r w:rsidRPr="00D97F78">
              <w:t>Assessment must occur in workplace operationa</w:t>
            </w:r>
            <w:r w:rsidRPr="00D97F78">
              <w:t>l situations where it is appropriate to do so. Where this is not appropriate, assessment must occur in simulated workplace operational situations that replicate workplace conditions.</w:t>
            </w:r>
          </w:p>
          <w:p w:rsidR="00000000" w:rsidRPr="00D97F78" w:rsidP="00D97F78">
            <w:pPr>
              <w:pStyle w:val="BodyText"/>
            </w:pPr>
            <w:r w:rsidRPr="00D97F78">
              <w:t xml:space="preserve">Assessment processes and techniques must be appropriate to the language, </w:t>
            </w:r>
            <w:r w:rsidRPr="00D97F78">
              <w:t>literacy and numeracy requirements of the work being performed and the needs of the candidate.</w:t>
            </w:r>
          </w:p>
          <w:p w:rsidR="00000000" w:rsidRPr="00D97F78" w:rsidP="00D97F78">
            <w:pPr>
              <w:pStyle w:val="BodyText"/>
            </w:pPr>
            <w:r w:rsidRPr="00D97F78">
              <w:t>Resources for assessment must include access to a range of</w:t>
            </w:r>
          </w:p>
          <w:p w:rsidR="00000000" w:rsidRPr="00D97F78" w:rsidP="00D97F78">
            <w:pPr>
              <w:pStyle w:val="ListBullet"/>
            </w:pPr>
            <w:r w:rsidRPr="00D97F78">
              <w:t>exercises, case studies or other simulations</w:t>
            </w:r>
          </w:p>
          <w:p w:rsidR="00000000" w:rsidRPr="00D97F78" w:rsidP="00D97F78">
            <w:pPr>
              <w:pStyle w:val="ListBullet"/>
            </w:pPr>
            <w:r w:rsidRPr="00D97F78">
              <w:t>materials and tools including digital supply chain equip</w:t>
            </w:r>
            <w:r w:rsidRPr="00D97F78">
              <w:t>ment used in industry</w:t>
            </w:r>
          </w:p>
          <w:p w:rsidR="00000000" w:rsidRPr="00D97F78" w:rsidP="00D97F78">
            <w:pPr>
              <w:pStyle w:val="ListBullet"/>
            </w:pPr>
            <w:r w:rsidRPr="00D97F78">
              <w:t>documentation including organisational policies and procedures, industry standards, regulations, codes of practice, operational manuals and equipment specifications.</w:t>
            </w:r>
            <w:r w:rsidRPr="00D97F78">
              <w:tab/>
            </w:r>
          </w:p>
        </w:tc>
      </w:tr>
    </w:tbl>
    <w:p w:rsidR="00000000" w:rsidRPr="00D97F78" w:rsidP="00D97F78">
      <w:pPr>
        <w:pStyle w:val="NoPaddingFontSize1"/>
      </w:pPr>
    </w:p>
    <w:p w:rsidR="00000000" w:rsidRPr="00D97F78" w:rsidP="00D97F78">
      <w:pPr>
        <w:pStyle w:val="AllowPageBreak"/>
      </w:pPr>
    </w:p>
    <w:p w:rsidR="00000000" w:rsidRPr="00D97F78" w:rsidP="00D97F78">
      <w:pPr>
        <w:pStyle w:val="Heading1"/>
      </w:pPr>
      <w:bookmarkStart w:id="5" w:name="O_1066269"/>
      <w:bookmarkEnd w:id="5"/>
      <w:r w:rsidRPr="00D97F78">
        <w:t>Links</w:t>
      </w:r>
    </w:p>
    <w:p w:rsidR="00000000" w:rsidRPr="00D97F78" w:rsidP="007F7A18">
      <w:pPr>
        <w:pStyle w:val="BodyText"/>
      </w:pPr>
      <w:r w:rsidRPr="00D97F78">
        <w:t>Companion Volume Implementation Guides a</w:t>
      </w:r>
      <w:r w:rsidRPr="00D97F78">
        <w:t xml:space="preserve">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66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97F78" w:rsidP="00D97F78"/>
    <w:sectPr w:rsidSect="00D97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78" w:rsidRPr="007F7A18" w:rsidP="007F7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18" w:rsidP="00D97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7A18" w:rsidP="00D97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F7A18" w:rsidP="00D97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F78" w:rsidRPr="007F7A18" w:rsidP="007F7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18" w:rsidRPr="002D2AF8" w:rsidP="00D97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TLIX0009X Employ digital supply chain risk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F7A18" w:rsidP="00D97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E9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362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F78"/>
  </w:style>
  <w:style w:type="character" w:customStyle="1" w:styleId="Heading1Char">
    <w:name w:val="Heading 1 Char"/>
    <w:basedOn w:val="DefaultParagraphFont"/>
    <w:link w:val="Heading1"/>
    <w:rsid w:val="00D97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F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F78"/>
    <w:rPr>
      <w:b/>
      <w:spacing w:val="0"/>
    </w:rPr>
  </w:style>
  <w:style w:type="paragraph" w:customStyle="1" w:styleId="SuperHeading">
    <w:name w:val="SuperHeading"/>
    <w:basedOn w:val="Normal"/>
    <w:rsid w:val="00D97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7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F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F78"/>
    <w:rPr>
      <w:i/>
    </w:rPr>
  </w:style>
  <w:style w:type="paragraph" w:styleId="Caption">
    <w:name w:val="caption"/>
    <w:basedOn w:val="BodyText"/>
    <w:next w:val="Normal"/>
    <w:qFormat/>
    <w:rsid w:val="00D97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F78"/>
  </w:style>
  <w:style w:type="paragraph" w:styleId="TableofFigures">
    <w:name w:val="table of figures"/>
    <w:basedOn w:val="Normal"/>
    <w:next w:val="Normal"/>
    <w:semiHidden/>
    <w:rsid w:val="00D97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F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F78"/>
    <w:rPr>
      <w:rFonts w:ascii="Wingdings" w:hAnsi="Wingdings"/>
    </w:rPr>
  </w:style>
  <w:style w:type="paragraph" w:customStyle="1" w:styleId="TableHeading">
    <w:name w:val="Table Heading"/>
    <w:basedOn w:val="HeadingBase"/>
    <w:rsid w:val="00D97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F78"/>
    <w:rPr>
      <w:color w:val="0033CC"/>
      <w:u w:val="none"/>
    </w:rPr>
  </w:style>
  <w:style w:type="paragraph" w:customStyle="1" w:styleId="BodyTextRight">
    <w:name w:val="Body Text Right"/>
    <w:basedOn w:val="BodyText"/>
    <w:rsid w:val="00D97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F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F78"/>
    <w:rPr>
      <w:sz w:val="32"/>
    </w:rPr>
  </w:style>
  <w:style w:type="paragraph" w:customStyle="1" w:styleId="HeadingProcedure">
    <w:name w:val="Heading Procedure"/>
    <w:basedOn w:val="HeadingBase"/>
    <w:next w:val="Normal"/>
    <w:rsid w:val="00D97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F78"/>
    <w:pPr>
      <w:spacing w:before="60" w:after="60"/>
    </w:pPr>
  </w:style>
  <w:style w:type="paragraph" w:styleId="ListContinue">
    <w:name w:val="List Continue"/>
    <w:basedOn w:val="List"/>
    <w:rsid w:val="00D97F78"/>
    <w:pPr>
      <w:ind w:firstLine="0"/>
    </w:pPr>
  </w:style>
  <w:style w:type="paragraph" w:customStyle="1" w:styleId="ListNote">
    <w:name w:val="List Note"/>
    <w:basedOn w:val="List"/>
    <w:rsid w:val="00D97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F78"/>
    <w:rPr>
      <w:rFonts w:ascii="Courier New" w:hAnsi="Courier New"/>
    </w:rPr>
  </w:style>
  <w:style w:type="paragraph" w:customStyle="1" w:styleId="NoteBullet">
    <w:name w:val="Note Bullet"/>
    <w:basedOn w:val="Note"/>
    <w:rsid w:val="00D97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F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F78"/>
    <w:rPr>
      <w:b/>
      <w:smallCaps/>
    </w:rPr>
  </w:style>
  <w:style w:type="paragraph" w:customStyle="1" w:styleId="TableListNumber">
    <w:name w:val="Table List Number"/>
    <w:basedOn w:val="ListNumber"/>
    <w:rsid w:val="00D97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F78"/>
    <w:pPr>
      <w:numPr>
        <w:numId w:val="8"/>
      </w:numPr>
    </w:pPr>
  </w:style>
  <w:style w:type="paragraph" w:customStyle="1" w:styleId="ListAlpha2">
    <w:name w:val="List Alpha 2"/>
    <w:basedOn w:val="List2"/>
    <w:rsid w:val="00D97F78"/>
    <w:pPr>
      <w:numPr>
        <w:numId w:val="7"/>
      </w:numPr>
    </w:pPr>
  </w:style>
  <w:style w:type="paragraph" w:styleId="List2">
    <w:name w:val="List 2"/>
    <w:basedOn w:val="BodyText"/>
    <w:rsid w:val="00D97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F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F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F78"/>
    <w:pPr>
      <w:numPr>
        <w:numId w:val="3"/>
      </w:numPr>
    </w:pPr>
  </w:style>
  <w:style w:type="paragraph" w:styleId="ListContinue2">
    <w:name w:val="List Continue 2"/>
    <w:basedOn w:val="List2"/>
    <w:rsid w:val="00D97F78"/>
    <w:pPr>
      <w:ind w:firstLine="0"/>
    </w:pPr>
  </w:style>
  <w:style w:type="paragraph" w:styleId="ListContinue3">
    <w:name w:val="List Continue 3"/>
    <w:basedOn w:val="List3"/>
    <w:rsid w:val="00D97F78"/>
    <w:pPr>
      <w:ind w:left="1021" w:firstLine="0"/>
    </w:pPr>
  </w:style>
  <w:style w:type="paragraph" w:styleId="ListContinue4">
    <w:name w:val="List Continue 4"/>
    <w:basedOn w:val="List4"/>
    <w:rsid w:val="00D97F78"/>
    <w:pPr>
      <w:ind w:firstLine="0"/>
    </w:pPr>
  </w:style>
  <w:style w:type="paragraph" w:styleId="ListContinue5">
    <w:name w:val="List Continue 5"/>
    <w:basedOn w:val="List5"/>
    <w:rsid w:val="00D97F78"/>
    <w:pPr>
      <w:ind w:firstLine="0"/>
    </w:pPr>
  </w:style>
  <w:style w:type="paragraph" w:styleId="ListNumber3">
    <w:name w:val="List Number 3"/>
    <w:basedOn w:val="List3"/>
    <w:rsid w:val="00D97F78"/>
    <w:pPr>
      <w:numPr>
        <w:numId w:val="4"/>
      </w:numPr>
    </w:pPr>
  </w:style>
  <w:style w:type="paragraph" w:styleId="ListNumber4">
    <w:name w:val="List Number 4"/>
    <w:basedOn w:val="List4"/>
    <w:rsid w:val="00D97F78"/>
    <w:pPr>
      <w:numPr>
        <w:numId w:val="5"/>
      </w:numPr>
    </w:pPr>
  </w:style>
  <w:style w:type="paragraph" w:styleId="ListNumber5">
    <w:name w:val="List Number 5"/>
    <w:basedOn w:val="List5"/>
    <w:rsid w:val="00D97F78"/>
    <w:pPr>
      <w:numPr>
        <w:numId w:val="6"/>
      </w:numPr>
    </w:pPr>
  </w:style>
  <w:style w:type="paragraph" w:styleId="BlockText">
    <w:name w:val="Block Text"/>
    <w:basedOn w:val="Normal"/>
    <w:rsid w:val="00D97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F78"/>
    <w:rPr>
      <w:sz w:val="16"/>
      <w:vertAlign w:val="superscript"/>
    </w:rPr>
  </w:style>
  <w:style w:type="character" w:customStyle="1" w:styleId="Symbols">
    <w:name w:val="Symbols"/>
    <w:basedOn w:val="DefaultParagraphFont"/>
    <w:rsid w:val="00D97F78"/>
    <w:rPr>
      <w:rFonts w:ascii="Symbol" w:hAnsi="Symbol"/>
    </w:rPr>
  </w:style>
  <w:style w:type="character" w:customStyle="1" w:styleId="MenuOptions">
    <w:name w:val="Menu Options"/>
    <w:basedOn w:val="DefaultParagraphFont"/>
    <w:rsid w:val="00D97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F78"/>
    <w:rPr>
      <w:b/>
    </w:rPr>
  </w:style>
  <w:style w:type="character" w:customStyle="1" w:styleId="Underlined">
    <w:name w:val="Underlined"/>
    <w:basedOn w:val="DefaultParagraphFont"/>
    <w:rsid w:val="00D97F78"/>
    <w:rPr>
      <w:u w:val="single"/>
    </w:rPr>
  </w:style>
  <w:style w:type="paragraph" w:customStyle="1" w:styleId="TableBodyTextRight">
    <w:name w:val="Table Body Text Right"/>
    <w:basedOn w:val="TableBodyText"/>
    <w:rsid w:val="00D97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F78"/>
    <w:rPr>
      <w:sz w:val="18"/>
    </w:rPr>
  </w:style>
  <w:style w:type="paragraph" w:customStyle="1" w:styleId="BodySmallRight">
    <w:name w:val="Body Small Right"/>
    <w:basedOn w:val="BodyTextRight"/>
    <w:rsid w:val="00D97F78"/>
    <w:rPr>
      <w:sz w:val="18"/>
      <w:szCs w:val="18"/>
    </w:rPr>
  </w:style>
  <w:style w:type="paragraph" w:customStyle="1" w:styleId="MarginEdition">
    <w:name w:val="Margin Edition"/>
    <w:basedOn w:val="MarginNote"/>
    <w:rsid w:val="00D97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F78"/>
    <w:rPr>
      <w:sz w:val="2"/>
      <w:szCs w:val="2"/>
    </w:rPr>
  </w:style>
  <w:style w:type="character" w:customStyle="1" w:styleId="Small">
    <w:name w:val="Small"/>
    <w:basedOn w:val="DefaultParagraphFont"/>
    <w:rsid w:val="00D97F78"/>
    <w:rPr>
      <w:sz w:val="16"/>
    </w:rPr>
  </w:style>
  <w:style w:type="paragraph" w:customStyle="1" w:styleId="WideTable">
    <w:name w:val="Wide Table"/>
    <w:basedOn w:val="Normal"/>
    <w:rsid w:val="00D97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F78"/>
  </w:style>
  <w:style w:type="paragraph" w:styleId="Quote">
    <w:name w:val="Quote"/>
    <w:basedOn w:val="Heading1"/>
    <w:link w:val="QuoteChar"/>
    <w:qFormat/>
    <w:rsid w:val="00D97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F78"/>
    <w:pPr>
      <w:pageBreakBefore/>
    </w:pPr>
  </w:style>
  <w:style w:type="paragraph" w:customStyle="1" w:styleId="Border">
    <w:name w:val="Border"/>
    <w:basedOn w:val="Normal"/>
    <w:qFormat/>
    <w:rsid w:val="00D97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F78"/>
    <w:rPr>
      <w:u w:val="single"/>
    </w:rPr>
  </w:style>
  <w:style w:type="character" w:customStyle="1" w:styleId="BoldandItalics">
    <w:name w:val="Bold and Italics"/>
    <w:qFormat/>
    <w:rsid w:val="00D97F78"/>
    <w:rPr>
      <w:b/>
      <w:i/>
      <w:u w:val="none"/>
    </w:rPr>
  </w:style>
  <w:style w:type="paragraph" w:styleId="BalloonText">
    <w:name w:val="Balloon Text"/>
    <w:basedOn w:val="Normal"/>
    <w:link w:val="BalloonTextChar"/>
    <w:rsid w:val="00D97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F78"/>
    <w:pPr>
      <w:spacing w:before="0" w:after="0"/>
    </w:pPr>
  </w:style>
  <w:style w:type="paragraph" w:customStyle="1" w:styleId="BodyTextBold">
    <w:name w:val="Body Text Bold"/>
    <w:basedOn w:val="BodyText"/>
    <w:qFormat/>
    <w:rsid w:val="00D97F78"/>
    <w:rPr>
      <w:b/>
    </w:rPr>
  </w:style>
  <w:style w:type="character" w:styleId="Hyperlink">
    <w:name w:val="Hyperlink"/>
    <w:basedOn w:val="DefaultParagraphFont"/>
    <w:uiPriority w:val="99"/>
    <w:unhideWhenUsed/>
    <w:rsid w:val="007F7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3105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TLIX0009X Employ digital supply chain risk management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