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B5C" w:rsidP="00826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TLIX0008 Comply with biosecurity border clearance</w:t>
      </w:r>
      <w:r>
        <w:fldChar w:fldCharType="end"/>
      </w:r>
    </w:p>
    <w:p w:rsidR="00826B5C" w:rsidP="00826B5C">
      <w:pPr>
        <w:pStyle w:val="Version"/>
        <w:sectPr w:rsidSect="00210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FCA" w:rsidP="00210FCA">
      <w:pPr>
        <w:pStyle w:val="SuperHeading"/>
      </w:pPr>
      <w:r w:rsidRPr="00210FCA">
        <w:t>TLIX0008 Comply with biosecurity border clearance</w:t>
      </w:r>
    </w:p>
    <w:p w:rsidR="00000000" w:rsidRPr="00210FCA" w:rsidP="00210FCA">
      <w:pPr>
        <w:pStyle w:val="Heading1"/>
      </w:pPr>
      <w:bookmarkStart w:id="1" w:name="O_1067725"/>
      <w:bookmarkEnd w:id="1"/>
      <w:r w:rsidRPr="00210F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Release 1. This is the first release of this unit of competency in the TLI Transport and Logistics Training Package.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2" w:name="O_1067726"/>
      <w:bookmarkEnd w:id="2"/>
      <w:r w:rsidRPr="00210F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This unit involves the skills and knowledge required to assess documentation</w:t>
            </w:r>
            <w:r w:rsidRPr="00210FCA">
              <w:t xml:space="preserve"> for compliance with biosecurity border clearance in accordance with legislation, regulatory requirements and workplace requirements.</w:t>
            </w:r>
          </w:p>
          <w:p w:rsidR="00000000" w:rsidRPr="00210FCA" w:rsidP="00210FCA">
            <w:pPr>
              <w:pStyle w:val="BodyText"/>
            </w:pPr>
            <w:r w:rsidRPr="00210FCA">
              <w:t>This unit applies to individuals assessing documentation for compliance with biosecurity border clearance. Work is underta</w:t>
            </w:r>
            <w:r w:rsidRPr="00210FCA">
              <w:t>ken in a range of environments, including small to large worksites, in the custom broking and international freight forwarding industries.</w:t>
            </w:r>
          </w:p>
          <w:p w:rsidR="00000000" w:rsidRPr="00210FCA" w:rsidP="00210FCA">
            <w:pPr>
              <w:pStyle w:val="BodyText"/>
            </w:pPr>
            <w:r w:rsidRPr="00210FCA">
              <w:t>No licensing, legislative or certification requirements apply to this unit at the time of publication.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3" w:name="O_1067727"/>
      <w:bookmarkEnd w:id="3"/>
      <w:r w:rsidRPr="00210F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Not applicable.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4" w:name="O_1067728"/>
      <w:bookmarkEnd w:id="4"/>
      <w:r w:rsidRPr="00210F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X – Logistics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5" w:name="O_1067729"/>
      <w:bookmarkEnd w:id="5"/>
      <w:r w:rsidRPr="00210F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Not applicable.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6" w:name="O_1067730"/>
      <w:bookmarkEnd w:id="6"/>
      <w:r w:rsidRPr="00210F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PERFORMANCE CRITERIA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Performance criteria describe the performance needed to demonstrate achievement of the element.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>Comply with non-commodity documentation requirements and declarations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Documentation for compliance with non</w:t>
            </w:r>
            <w:r w:rsidRPr="00210FCA">
              <w:noBreakHyphen/>
            </w:r>
            <w:r w:rsidRPr="00210FCA">
              <w:t>commodity concerns related to cargo type is assessed in accordance with the relevant Approved Arrangement requirements for non</w:t>
            </w:r>
            <w:r w:rsidRPr="00210FCA">
              <w:noBreakHyphen/>
              <w:t>commodity containerised cargo clearance and the non</w:t>
            </w:r>
            <w:r w:rsidRPr="00210FCA">
              <w:noBreakHyphen/>
              <w:t>commodity information requirements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Treatment certificates are a</w:t>
            </w:r>
            <w:r w:rsidRPr="00210FCA">
              <w:t>ssessed for compliance with treatment certificate requirements for solid timber, bamboo packaging and dunnage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Documentation to determine delivery location category is assessed in accordance with the relevant Approved Arrangement requirements for non</w:t>
            </w:r>
            <w:r w:rsidRPr="00210FCA">
              <w:t>-commodity containerised cargo clearance and the non-commodity information requirements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 xml:space="preserve">Answers for non-commodity general declaration questions when lodging full import declaration are assessed in accordance with the relevant Approved </w:t>
            </w:r>
            <w:r w:rsidRPr="00210FCA">
              <w:t>Arrangement requirements for non-commodity containerised cargo clearance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Non-commodity concern types and Approved Arrangement sites identifier (ID) are identified and reported when lodging full import declaration in accordance with the relevant Appr</w:t>
            </w:r>
            <w:r w:rsidRPr="00210FCA">
              <w:t>oved Arrangement requirements for non-commodity containerised cargo clearance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Relevant records are maintained in accordance with regulatory requirements and workplace procedures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Compliance monitoring and non-compliance implications are identi</w:t>
            </w:r>
            <w:r w:rsidRPr="00210FCA">
              <w:t>fied and actioned in accordance with the non-commodity Approved Arrangement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>Comply with commodity documentation requirements and declarations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Documentation for compliance with commodity concerns is assessed in accordance with the relevant Approved Arrangement Requirements for automatic entry processing for commodities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Correct commodity code and Approved Arrangement sites identifier (ID) a</w:t>
            </w:r>
            <w:r w:rsidRPr="00210FCA">
              <w:t>re determined for automatic entry processing for commodity as appropriate in accordance with the Approved Arrangement Requirements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Relevant records are maintained in accordance with regulatory requirements and workplace procedures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Comp</w:t>
            </w:r>
            <w:r w:rsidRPr="00210FCA">
              <w:t>liance monitoring and non-compliance implications are identified and actioned in accordance with the Approved Arrangement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rPr>
                <w:rStyle w:val="SpecialBold"/>
              </w:rPr>
              <w:t xml:space="preserve">Comply with minimum document and import </w:t>
            </w:r>
            <w:r w:rsidRPr="00210FCA">
              <w:rPr>
                <w:rStyle w:val="SpecialBold"/>
              </w:rPr>
              <w:t>declaration</w:t>
            </w:r>
            <w:r w:rsidRPr="00210FCA">
              <w:t xml:space="preserve"> </w:t>
            </w:r>
            <w:r w:rsidRPr="00210FCA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 xml:space="preserve">Documentation is assessed for compliance with biosecurity import conditions and in accordance with </w:t>
            </w:r>
            <w:r w:rsidRPr="00210FCA">
              <w:t>minimum documentary and import declaration requirements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3.</w:t>
            </w:r>
            <w:r w:rsidRPr="00210FCA"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Relevant information is reported in accordance with minimum documentary and import decl</w:t>
            </w:r>
            <w:r w:rsidRPr="00210FCA">
              <w:t>aration requirements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rPr>
                <w:rStyle w:val="SpecialBold"/>
              </w:rPr>
              <w:t>3.</w:t>
            </w:r>
            <w:r w:rsidRPr="00210FCA"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Information is lodged into an import declaration in accordance with the minimum documentary and import declaration requirements policy</w:t>
            </w:r>
          </w:p>
        </w:tc>
      </w:tr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CA">
            <w:pPr>
              <w:pStyle w:val="BodyText"/>
              <w:rPr>
                <w:lang w:val="en-NZ"/>
              </w:rPr>
            </w:pPr>
            <w:r w:rsidRPr="00210FCA"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 xml:space="preserve">Relevant records are maintained in accordance with regulatory requirements and </w:t>
            </w:r>
            <w:r w:rsidRPr="00210FCA">
              <w:t>workplace procedures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7" w:name="O_1067731"/>
      <w:bookmarkEnd w:id="7"/>
      <w:r w:rsidRPr="00210F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Foundation skills essential to performance are explicit in the performance criteria of this unit of competency.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8" w:name="O_1067732"/>
      <w:bookmarkEnd w:id="8"/>
      <w:r w:rsidRPr="00210F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Range is restricted to essential operating conditions and any other variables essential to the work environment.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9" w:name="O_1067733"/>
      <w:bookmarkEnd w:id="9"/>
      <w:r w:rsidRPr="00210F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CA" w:rsidP="00210FCA">
            <w:pPr>
              <w:pStyle w:val="BodyText"/>
            </w:pPr>
            <w:r w:rsidRPr="00210FCA">
              <w:t>This unit replaces and is equivalent to TLIX5054 Comply with biosecurity border clearance.</w:t>
            </w:r>
          </w:p>
        </w:tc>
      </w:tr>
    </w:tbl>
    <w:p w:rsidR="00000000" w:rsidRPr="00210FCA" w:rsidP="00210FCA">
      <w:pPr>
        <w:pStyle w:val="NoPaddingFontSize1"/>
      </w:pPr>
    </w:p>
    <w:p w:rsidR="00000000" w:rsidRPr="00210FCA" w:rsidP="00210FCA">
      <w:pPr>
        <w:pStyle w:val="AllowPageBreak"/>
      </w:pPr>
    </w:p>
    <w:p w:rsidR="00000000" w:rsidRPr="00210FCA" w:rsidP="00210FCA">
      <w:pPr>
        <w:pStyle w:val="Heading1"/>
      </w:pPr>
      <w:bookmarkStart w:id="10" w:name="O_1067740"/>
      <w:bookmarkEnd w:id="10"/>
      <w:r w:rsidRPr="00210FCA">
        <w:t>Links</w:t>
      </w:r>
    </w:p>
    <w:p w:rsidR="00000000" w:rsidRPr="00210FCA" w:rsidP="00826B5C">
      <w:pPr>
        <w:pStyle w:val="BodyText"/>
      </w:pPr>
      <w:r w:rsidRPr="00210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15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0FCA" w:rsidP="00210FCA"/>
    <w:sectPr w:rsidSect="00210F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CA" w:rsidRPr="00826B5C" w:rsidP="00826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C" w:rsidP="00210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B5C" w:rsidP="00210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6B5C" w:rsidP="00210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FCA" w:rsidRPr="00826B5C" w:rsidP="00826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C" w:rsidRPr="002D2AF8" w:rsidP="00210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TLIX0008 Comply with biosecurity border clearance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26B5C" w:rsidP="00210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FCA"/>
  </w:style>
  <w:style w:type="character" w:customStyle="1" w:styleId="Heading1Char">
    <w:name w:val="Heading 1 Char"/>
    <w:basedOn w:val="DefaultParagraphFont"/>
    <w:link w:val="Heading1"/>
    <w:rsid w:val="00210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F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0FCA"/>
    <w:rPr>
      <w:b/>
      <w:spacing w:val="0"/>
    </w:rPr>
  </w:style>
  <w:style w:type="paragraph" w:customStyle="1" w:styleId="SuperHeading">
    <w:name w:val="SuperHeading"/>
    <w:basedOn w:val="Normal"/>
    <w:rsid w:val="00210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0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F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F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0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F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FCA"/>
    <w:rPr>
      <w:i/>
    </w:rPr>
  </w:style>
  <w:style w:type="paragraph" w:styleId="Caption">
    <w:name w:val="caption"/>
    <w:basedOn w:val="BodyText"/>
    <w:next w:val="Normal"/>
    <w:qFormat/>
    <w:rsid w:val="00210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FCA"/>
  </w:style>
  <w:style w:type="paragraph" w:styleId="TableofFigures">
    <w:name w:val="table of figures"/>
    <w:basedOn w:val="Normal"/>
    <w:next w:val="Normal"/>
    <w:semiHidden/>
    <w:rsid w:val="00210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F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0FCA"/>
    <w:rPr>
      <w:rFonts w:ascii="Wingdings" w:hAnsi="Wingdings"/>
    </w:rPr>
  </w:style>
  <w:style w:type="paragraph" w:customStyle="1" w:styleId="TableHeading">
    <w:name w:val="Table Heading"/>
    <w:basedOn w:val="HeadingBase"/>
    <w:rsid w:val="00210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FCA"/>
    <w:rPr>
      <w:color w:val="0033CC"/>
      <w:u w:val="none"/>
    </w:rPr>
  </w:style>
  <w:style w:type="paragraph" w:customStyle="1" w:styleId="BodyTextRight">
    <w:name w:val="Body Text Right"/>
    <w:basedOn w:val="BodyText"/>
    <w:rsid w:val="00210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F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FCA"/>
    <w:rPr>
      <w:sz w:val="32"/>
    </w:rPr>
  </w:style>
  <w:style w:type="paragraph" w:customStyle="1" w:styleId="HeadingProcedure">
    <w:name w:val="Heading Procedure"/>
    <w:basedOn w:val="HeadingBase"/>
    <w:next w:val="Normal"/>
    <w:rsid w:val="00210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FCA"/>
    <w:pPr>
      <w:spacing w:before="60" w:after="60"/>
    </w:pPr>
  </w:style>
  <w:style w:type="paragraph" w:styleId="ListContinue">
    <w:name w:val="List Continue"/>
    <w:basedOn w:val="List"/>
    <w:rsid w:val="00210FCA"/>
    <w:pPr>
      <w:ind w:firstLine="0"/>
    </w:pPr>
  </w:style>
  <w:style w:type="paragraph" w:customStyle="1" w:styleId="ListNote">
    <w:name w:val="List Note"/>
    <w:basedOn w:val="List"/>
    <w:rsid w:val="00210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FCA"/>
    <w:rPr>
      <w:rFonts w:ascii="Courier New" w:hAnsi="Courier New"/>
    </w:rPr>
  </w:style>
  <w:style w:type="paragraph" w:customStyle="1" w:styleId="NoteBullet">
    <w:name w:val="Note Bullet"/>
    <w:basedOn w:val="Note"/>
    <w:rsid w:val="00210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F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0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FCA"/>
    <w:rPr>
      <w:b/>
      <w:smallCaps/>
    </w:rPr>
  </w:style>
  <w:style w:type="paragraph" w:customStyle="1" w:styleId="TableListNumber">
    <w:name w:val="Table List Number"/>
    <w:basedOn w:val="ListNumber"/>
    <w:rsid w:val="00210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FCA"/>
    <w:pPr>
      <w:numPr>
        <w:numId w:val="7"/>
      </w:numPr>
    </w:pPr>
  </w:style>
  <w:style w:type="paragraph" w:customStyle="1" w:styleId="ListAlpha2">
    <w:name w:val="List Alpha 2"/>
    <w:basedOn w:val="List2"/>
    <w:rsid w:val="00210FCA"/>
    <w:pPr>
      <w:numPr>
        <w:numId w:val="6"/>
      </w:numPr>
    </w:pPr>
  </w:style>
  <w:style w:type="paragraph" w:styleId="List2">
    <w:name w:val="List 2"/>
    <w:basedOn w:val="BodyText"/>
    <w:rsid w:val="00210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F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F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0FCA"/>
    <w:pPr>
      <w:numPr>
        <w:numId w:val="2"/>
      </w:numPr>
    </w:pPr>
  </w:style>
  <w:style w:type="paragraph" w:styleId="ListContinue2">
    <w:name w:val="List Continue 2"/>
    <w:basedOn w:val="List2"/>
    <w:rsid w:val="00210FCA"/>
    <w:pPr>
      <w:ind w:firstLine="0"/>
    </w:pPr>
  </w:style>
  <w:style w:type="paragraph" w:styleId="ListContinue3">
    <w:name w:val="List Continue 3"/>
    <w:basedOn w:val="List3"/>
    <w:rsid w:val="00210FCA"/>
    <w:pPr>
      <w:ind w:left="1021" w:firstLine="0"/>
    </w:pPr>
  </w:style>
  <w:style w:type="paragraph" w:styleId="ListContinue4">
    <w:name w:val="List Continue 4"/>
    <w:basedOn w:val="List4"/>
    <w:rsid w:val="00210FCA"/>
    <w:pPr>
      <w:ind w:firstLine="0"/>
    </w:pPr>
  </w:style>
  <w:style w:type="paragraph" w:styleId="ListContinue5">
    <w:name w:val="List Continue 5"/>
    <w:basedOn w:val="List5"/>
    <w:rsid w:val="00210FCA"/>
    <w:pPr>
      <w:ind w:firstLine="0"/>
    </w:pPr>
  </w:style>
  <w:style w:type="paragraph" w:styleId="ListNumber3">
    <w:name w:val="List Number 3"/>
    <w:basedOn w:val="List3"/>
    <w:rsid w:val="00210FCA"/>
    <w:pPr>
      <w:numPr>
        <w:numId w:val="3"/>
      </w:numPr>
    </w:pPr>
  </w:style>
  <w:style w:type="paragraph" w:styleId="ListNumber4">
    <w:name w:val="List Number 4"/>
    <w:basedOn w:val="List4"/>
    <w:rsid w:val="00210FCA"/>
    <w:pPr>
      <w:numPr>
        <w:numId w:val="4"/>
      </w:numPr>
    </w:pPr>
  </w:style>
  <w:style w:type="paragraph" w:styleId="ListNumber5">
    <w:name w:val="List Number 5"/>
    <w:basedOn w:val="List5"/>
    <w:rsid w:val="00210FCA"/>
    <w:pPr>
      <w:numPr>
        <w:numId w:val="5"/>
      </w:numPr>
    </w:pPr>
  </w:style>
  <w:style w:type="paragraph" w:styleId="BlockText">
    <w:name w:val="Block Text"/>
    <w:basedOn w:val="Normal"/>
    <w:rsid w:val="00210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FCA"/>
    <w:rPr>
      <w:sz w:val="16"/>
      <w:vertAlign w:val="superscript"/>
    </w:rPr>
  </w:style>
  <w:style w:type="character" w:customStyle="1" w:styleId="Symbols">
    <w:name w:val="Symbols"/>
    <w:basedOn w:val="DefaultParagraphFont"/>
    <w:rsid w:val="00210FCA"/>
    <w:rPr>
      <w:rFonts w:ascii="Symbol" w:hAnsi="Symbol"/>
    </w:rPr>
  </w:style>
  <w:style w:type="character" w:customStyle="1" w:styleId="MenuOptions">
    <w:name w:val="Menu Options"/>
    <w:basedOn w:val="DefaultParagraphFont"/>
    <w:rsid w:val="00210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FCA"/>
    <w:rPr>
      <w:b/>
    </w:rPr>
  </w:style>
  <w:style w:type="character" w:customStyle="1" w:styleId="Underlined">
    <w:name w:val="Underlined"/>
    <w:basedOn w:val="DefaultParagraphFont"/>
    <w:rsid w:val="00210FCA"/>
    <w:rPr>
      <w:u w:val="single"/>
    </w:rPr>
  </w:style>
  <w:style w:type="paragraph" w:customStyle="1" w:styleId="TableBodyTextRight">
    <w:name w:val="Table Body Text Right"/>
    <w:basedOn w:val="TableBodyText"/>
    <w:rsid w:val="00210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FCA"/>
    <w:rPr>
      <w:sz w:val="18"/>
    </w:rPr>
  </w:style>
  <w:style w:type="paragraph" w:customStyle="1" w:styleId="BodySmallRight">
    <w:name w:val="Body Small Right"/>
    <w:basedOn w:val="BodyTextRight"/>
    <w:rsid w:val="00210FCA"/>
    <w:rPr>
      <w:sz w:val="18"/>
      <w:szCs w:val="18"/>
    </w:rPr>
  </w:style>
  <w:style w:type="paragraph" w:customStyle="1" w:styleId="MarginEdition">
    <w:name w:val="Margin Edition"/>
    <w:basedOn w:val="MarginNote"/>
    <w:rsid w:val="00210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FCA"/>
    <w:rPr>
      <w:sz w:val="2"/>
      <w:szCs w:val="2"/>
    </w:rPr>
  </w:style>
  <w:style w:type="character" w:customStyle="1" w:styleId="Small">
    <w:name w:val="Small"/>
    <w:basedOn w:val="DefaultParagraphFont"/>
    <w:rsid w:val="00210FCA"/>
    <w:rPr>
      <w:sz w:val="16"/>
    </w:rPr>
  </w:style>
  <w:style w:type="paragraph" w:customStyle="1" w:styleId="WideTable">
    <w:name w:val="Wide Table"/>
    <w:basedOn w:val="Normal"/>
    <w:rsid w:val="00210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FCA"/>
  </w:style>
  <w:style w:type="paragraph" w:styleId="Quote">
    <w:name w:val="Quote"/>
    <w:basedOn w:val="Heading1"/>
    <w:link w:val="QuoteChar"/>
    <w:qFormat/>
    <w:rsid w:val="00210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FCA"/>
    <w:pPr>
      <w:pageBreakBefore/>
    </w:pPr>
  </w:style>
  <w:style w:type="paragraph" w:customStyle="1" w:styleId="Border">
    <w:name w:val="Border"/>
    <w:basedOn w:val="Normal"/>
    <w:qFormat/>
    <w:rsid w:val="00210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FCA"/>
    <w:rPr>
      <w:u w:val="single"/>
    </w:rPr>
  </w:style>
  <w:style w:type="character" w:customStyle="1" w:styleId="BoldandItalics">
    <w:name w:val="Bold and Italics"/>
    <w:qFormat/>
    <w:rsid w:val="00210FCA"/>
    <w:rPr>
      <w:b/>
      <w:i/>
      <w:u w:val="none"/>
    </w:rPr>
  </w:style>
  <w:style w:type="paragraph" w:styleId="BalloonText">
    <w:name w:val="Balloon Text"/>
    <w:basedOn w:val="Normal"/>
    <w:link w:val="BalloonTextChar"/>
    <w:rsid w:val="00210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FCA"/>
    <w:pPr>
      <w:spacing w:before="0" w:after="0"/>
    </w:pPr>
  </w:style>
  <w:style w:type="paragraph" w:customStyle="1" w:styleId="BodyTextBold">
    <w:name w:val="Body Text Bold"/>
    <w:basedOn w:val="BodyText"/>
    <w:qFormat/>
    <w:rsid w:val="00210FCA"/>
    <w:rPr>
      <w:b/>
    </w:rPr>
  </w:style>
  <w:style w:type="character" w:styleId="Hyperlink">
    <w:name w:val="Hyperlink"/>
    <w:basedOn w:val="DefaultParagraphFont"/>
    <w:uiPriority w:val="99"/>
    <w:unhideWhenUsed/>
    <w:rsid w:val="00826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4067</Characters>
  <Application>Microsoft Office Word</Application>
  <DocSecurity>0</DocSecurity>
  <Lines>176</Lines>
  <Paragraphs>76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TLIX0008 Comply with biosecurity border clearance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