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559" w:rsidP="000B4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TLIX0008 Comply with biosecurity border clearance</w:t>
      </w:r>
      <w:r>
        <w:fldChar w:fldCharType="end"/>
      </w:r>
    </w:p>
    <w:p w:rsidR="000B4559" w:rsidP="000B4559">
      <w:pPr>
        <w:pStyle w:val="Version"/>
        <w:sectPr w:rsidSect="00081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1085" w:rsidP="00081085">
      <w:pPr>
        <w:pStyle w:val="SuperHeading"/>
      </w:pPr>
      <w:r w:rsidRPr="00081085">
        <w:t>TLIX0008 Comply with biosecurity border clearance</w:t>
      </w:r>
    </w:p>
    <w:p w:rsidR="00000000" w:rsidRPr="00081085" w:rsidP="00081085">
      <w:pPr>
        <w:pStyle w:val="Heading1"/>
      </w:pPr>
      <w:bookmarkStart w:id="1" w:name="O_1067725"/>
      <w:bookmarkEnd w:id="1"/>
      <w:r w:rsidRPr="000810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Release 1. This is the first release of this unit of competency in the TLI Transport and Logistics Training Package.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2" w:name="O_1067726"/>
      <w:bookmarkEnd w:id="2"/>
      <w:r w:rsidRPr="000810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This unit involves the skills and knowledge required to assess documentation</w:t>
            </w:r>
            <w:r w:rsidRPr="00081085">
              <w:t xml:space="preserve"> for compliance with biosecurity border clearance in accordance with legislation, regulatory requirements and workplace requirements.</w:t>
            </w:r>
          </w:p>
          <w:p w:rsidR="00000000" w:rsidRPr="00081085" w:rsidP="00081085">
            <w:pPr>
              <w:pStyle w:val="BodyText"/>
            </w:pPr>
            <w:r w:rsidRPr="00081085">
              <w:t>This unit applies to individuals assessing documentation for compliance with biosecurity border clearance. Work is underta</w:t>
            </w:r>
            <w:r w:rsidRPr="00081085">
              <w:t>ken in a range of environments, including small to large worksites, in the custom broking and international freight forwarding industries.</w:t>
            </w:r>
          </w:p>
          <w:p w:rsidR="00000000" w:rsidRPr="00081085" w:rsidP="00081085">
            <w:pPr>
              <w:pStyle w:val="BodyText"/>
            </w:pPr>
            <w:r w:rsidRPr="00081085">
              <w:t>No licensing, legislative or certification requirements apply to this unit at the time of publication.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3" w:name="O_1067727"/>
      <w:bookmarkEnd w:id="3"/>
      <w:r w:rsidRPr="000810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Not applicable.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4" w:name="O_1067728"/>
      <w:bookmarkEnd w:id="4"/>
      <w:r w:rsidRPr="000810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X – Logistics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5" w:name="O_1067729"/>
      <w:bookmarkEnd w:id="5"/>
      <w:r w:rsidRPr="000810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Not applicable.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6" w:name="O_1067730"/>
      <w:bookmarkEnd w:id="6"/>
      <w:r w:rsidRPr="000810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PERFORMANCE CRITERIA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Performance criteria describe the performance needed to demonstrate achievement of the element.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>Comply with non-commodity documentation requirements and declarations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Documentation for compliance with non</w:t>
            </w:r>
            <w:r w:rsidRPr="00081085">
              <w:noBreakHyphen/>
            </w:r>
            <w:r w:rsidRPr="00081085">
              <w:t>commodity concerns related to cargo type is assessed in accordance with the relevant Approved Arrangement requirements for non</w:t>
            </w:r>
            <w:r w:rsidRPr="00081085">
              <w:noBreakHyphen/>
              <w:t>commodity containerised cargo clearance and the non</w:t>
            </w:r>
            <w:r w:rsidRPr="00081085">
              <w:noBreakHyphen/>
              <w:t>commodity information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Treatment certificates are a</w:t>
            </w:r>
            <w:r w:rsidRPr="00081085">
              <w:t>ssessed for compliance with treatment certificate requirements for solid timber, bamboo packaging and dunnage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Documentation to determine delivery location category is assessed in accordance with the relevant Approved Arrangement requirements for non-commodity containerised cargo clearance and the non-commodity information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Answers for non</w:t>
            </w:r>
            <w:r w:rsidRPr="00081085">
              <w:t>-commodity general declaration questions when lodging full import declaration are assessed in accordance with the relevant Approved Arrangement requirements for non-commodity containerised cargo clearance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Non-commodity concern types and Approved Arr</w:t>
            </w:r>
            <w:r w:rsidRPr="00081085">
              <w:t>angement sites identifier (ID) are identified and reported when lodging full import declaration in accordance with the relevant Approved Arrangement requirements for non-commodity containerised cargo clearance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Relevant records are maintained in acco</w:t>
            </w:r>
            <w:r w:rsidRPr="00081085">
              <w:t>rdance with regulatory requirements and workplace procedures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Compliance monitoring and non-compliance implications are identified and actioned in accordance with the non-commodity Approved Arrangement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>Comply with commodity documentation requirements and declarations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Documentation for compliance with commodity concerns is assessed in accordance with the relevant Approved Arrangement Requirements for automatic entry processing for commodities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C</w:t>
            </w:r>
            <w:r w:rsidRPr="00081085">
              <w:t>orrect commodity code and Approved Arrangement sites identifier (ID) are determined for automatic entry processing for commodity as appropriate in accordance with the Approved Arrangement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Relevant records are maintained in accord</w:t>
            </w:r>
            <w:r w:rsidRPr="00081085">
              <w:t>ance with regulatory requirements and workplace procedures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Compliance monitoring and non-compliance implications are identified and actioned in accordance with the Approved Arrangement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rPr>
                <w:rStyle w:val="SpecialBold"/>
              </w:rPr>
              <w:t xml:space="preserve">Comply with minimum document and import </w:t>
            </w:r>
            <w:r w:rsidRPr="00081085">
              <w:rPr>
                <w:rStyle w:val="SpecialBold"/>
              </w:rPr>
              <w:t>declaration</w:t>
            </w:r>
            <w:r w:rsidRPr="00081085">
              <w:t xml:space="preserve"> </w:t>
            </w:r>
            <w:r w:rsidRPr="00081085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 xml:space="preserve">Documentation is assessed for compliance with biosecurity import conditions and in accordance with </w:t>
            </w:r>
            <w:r w:rsidRPr="00081085">
              <w:t>minimum documentary and import declaration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3.</w:t>
            </w:r>
            <w:r w:rsidRPr="00081085"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Relevant information is reported in accordance with minimum documentary and import declaration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rPr>
                <w:rStyle w:val="SpecialBold"/>
              </w:rPr>
              <w:t>3.</w:t>
            </w:r>
            <w:r w:rsidRPr="00081085"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Information is lodged into an import declaration in accordance with the minimum documentary and import declaration requirements policy</w:t>
            </w:r>
          </w:p>
        </w:tc>
      </w:tr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85">
            <w:pPr>
              <w:pStyle w:val="BodyText"/>
              <w:rPr>
                <w:lang w:val="en-NZ"/>
              </w:rPr>
            </w:pPr>
            <w:r w:rsidRPr="00081085"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Relevant records are maintained in accordance with regulatory requirements and workplace procedures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7" w:name="O_1067731"/>
      <w:bookmarkEnd w:id="7"/>
      <w:r w:rsidRPr="000810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Foundation skills essential to performance are explicit in the performance criteria of this unit of competency.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8" w:name="O_1067732"/>
      <w:bookmarkEnd w:id="8"/>
      <w:r w:rsidRPr="000810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Range is restricted to essential operating conditions and any other variables essential to the work env</w:t>
            </w:r>
            <w:r w:rsidRPr="00081085">
              <w:t>ironment.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9" w:name="O_1067733"/>
      <w:bookmarkEnd w:id="9"/>
      <w:r w:rsidRPr="000810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This unit replaces and is equivalent to TLIX5054 Comply with biosecurity border clearance.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10" w:name="O_1067740"/>
      <w:bookmarkEnd w:id="10"/>
      <w:r w:rsidRPr="00081085">
        <w:t>Links</w:t>
      </w:r>
    </w:p>
    <w:p w:rsidR="00000000" w:rsidRPr="00081085" w:rsidP="000B4559">
      <w:pPr>
        <w:pStyle w:val="BodyText"/>
      </w:pPr>
      <w:r w:rsidRPr="00081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3F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1085" w:rsidP="000B4559">
      <w:pPr>
        <w:pStyle w:val="BodyText"/>
        <w:sectPr w:rsidSect="000810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1085" w:rsidP="00081085">
      <w:pPr>
        <w:pStyle w:val="SuperHeading"/>
      </w:pPr>
      <w:r w:rsidRPr="00081085">
        <w:t>Assessment Requirements for TLIX0008 Comply with biosecurity border clearance</w:t>
      </w:r>
    </w:p>
    <w:p w:rsidR="00000000" w:rsidRPr="00081085" w:rsidP="00081085">
      <w:pPr>
        <w:pStyle w:val="Heading1"/>
      </w:pPr>
      <w:bookmarkStart w:id="11" w:name="O_1067735"/>
      <w:bookmarkEnd w:id="11"/>
      <w:r w:rsidRPr="000810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Release 1. This is the first release of this unit of competency in the TLI Transport and Logistics Training Package.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12" w:name="O_1067736"/>
      <w:bookmarkEnd w:id="12"/>
      <w:r w:rsidRPr="000810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Evidence required to demonstrate competence in this unit must be relevant to and satisfy all of t</w:t>
            </w:r>
            <w:r w:rsidRPr="00081085">
              <w:t>he requirements of the elements and performance criteria on at least one occasion and include:</w:t>
            </w:r>
          </w:p>
          <w:p w:rsidR="00000000" w:rsidRPr="00081085" w:rsidP="00081085">
            <w:pPr>
              <w:pStyle w:val="ListBullet"/>
            </w:pPr>
            <w:r w:rsidRPr="00081085">
              <w:t>assessing documents with required attention to detail</w:t>
            </w:r>
          </w:p>
          <w:p w:rsidR="00000000" w:rsidRPr="00081085" w:rsidP="00081085">
            <w:pPr>
              <w:pStyle w:val="ListBullet"/>
            </w:pPr>
            <w:r w:rsidRPr="00081085">
              <w:t>assessing documents, answering lodgement questions and determining appropriate concern types and automatic</w:t>
            </w:r>
            <w:r w:rsidRPr="00081085">
              <w:t xml:space="preserve"> entry process (AEP) codes</w:t>
            </w:r>
          </w:p>
          <w:p w:rsidR="00000000" w:rsidRPr="00081085" w:rsidP="00081085">
            <w:pPr>
              <w:pStyle w:val="ListBullet"/>
            </w:pPr>
            <w:r w:rsidRPr="00081085">
              <w:t>assessing whether documents are compliant with the requirements of the purpose for which they are to be used</w:t>
            </w:r>
          </w:p>
          <w:p w:rsidR="00000000" w:rsidRPr="00081085" w:rsidP="00081085">
            <w:pPr>
              <w:pStyle w:val="ListBullet"/>
            </w:pPr>
            <w:r w:rsidRPr="00081085">
              <w:t>ensuring currency of relevant legislative and regulatory knowledge</w:t>
            </w:r>
          </w:p>
          <w:p w:rsidR="00000000" w:rsidRPr="00081085" w:rsidP="00081085">
            <w:pPr>
              <w:pStyle w:val="ListBullet"/>
            </w:pPr>
            <w:r w:rsidRPr="00081085">
              <w:t>maintaining records in accordance with regulatory req</w:t>
            </w:r>
            <w:r w:rsidRPr="00081085">
              <w:t>uirements</w:t>
            </w:r>
          </w:p>
          <w:p w:rsidR="00000000" w:rsidRPr="00081085" w:rsidP="00081085">
            <w:pPr>
              <w:pStyle w:val="ListBullet"/>
            </w:pPr>
            <w:r w:rsidRPr="00081085">
              <w:t>reading and interpreting relevant Acts and legislation.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13" w:name="O_1067737"/>
      <w:bookmarkEnd w:id="13"/>
      <w:r w:rsidRPr="000810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81085" w:rsidP="00081085">
            <w:pPr>
              <w:pStyle w:val="ListBullet"/>
            </w:pPr>
            <w:r w:rsidRPr="00081085">
              <w:t>general awareness of biosecurity border clearance requirements</w:t>
            </w:r>
          </w:p>
          <w:p w:rsidR="00000000" w:rsidRPr="00081085" w:rsidP="00081085">
            <w:pPr>
              <w:pStyle w:val="ListBullet"/>
            </w:pPr>
            <w:r w:rsidRPr="00081085">
              <w:t xml:space="preserve">obligations </w:t>
            </w:r>
            <w:r w:rsidRPr="00081085">
              <w:t>of person engaged in a regulatory arrangement</w:t>
            </w:r>
          </w:p>
          <w:p w:rsidR="00000000" w:rsidRPr="00081085" w:rsidP="00081085">
            <w:pPr>
              <w:pStyle w:val="ListBullet"/>
            </w:pPr>
            <w:r w:rsidRPr="00081085">
              <w:t>policies regarding compliance with requirements of a regulatory arrangement</w:t>
            </w:r>
          </w:p>
          <w:p w:rsidR="00000000" w:rsidRPr="00081085" w:rsidP="00081085">
            <w:pPr>
              <w:pStyle w:val="ListBullet"/>
            </w:pPr>
            <w:r w:rsidRPr="00081085">
              <w:t>relevant legislation, regulations, schemes, policies and procedures.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14" w:name="O_1067738"/>
      <w:bookmarkEnd w:id="14"/>
      <w:r w:rsidRPr="000810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10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85" w:rsidP="00081085">
            <w:pPr>
              <w:pStyle w:val="BodyText"/>
            </w:pPr>
            <w:r w:rsidRPr="00081085">
              <w:t xml:space="preserve">Assessors must hold credentials specified within the Standards for Registered Training Organisations current at the time of assessment. </w:t>
            </w:r>
          </w:p>
          <w:p w:rsidR="00000000" w:rsidRPr="00081085" w:rsidP="00081085">
            <w:pPr>
              <w:pStyle w:val="BodyText"/>
            </w:pPr>
            <w:r w:rsidRPr="00081085">
              <w:t>Assessment must satisfy the Principles of Assessment and Rules of Evidence and all regulatory requirements included wit</w:t>
            </w:r>
            <w:r w:rsidRPr="00081085">
              <w:t>hin the Standards for Registered Training Organisations current at the time of assessment.</w:t>
            </w:r>
          </w:p>
          <w:p w:rsidR="00000000" w:rsidRPr="00081085" w:rsidP="00081085">
            <w:pPr>
              <w:pStyle w:val="BodyText"/>
            </w:pPr>
            <w:r w:rsidRPr="00081085">
              <w:t>Assessment must occur in workplace operational situations where it is appropriate to do so; where this is not appropriate, assessment must occur in simulated workpla</w:t>
            </w:r>
            <w:r w:rsidRPr="00081085">
              <w:t>ce operational situations that replicate workplace conditions.</w:t>
            </w:r>
          </w:p>
          <w:p w:rsidR="00000000" w:rsidRPr="00081085" w:rsidP="00081085">
            <w:pPr>
              <w:pStyle w:val="BodyText"/>
            </w:pPr>
            <w:r w:rsidRPr="0008108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81085" w:rsidP="00081085">
            <w:pPr>
              <w:pStyle w:val="BodyText"/>
            </w:pPr>
            <w:r w:rsidRPr="00081085">
              <w:t xml:space="preserve">Resources for assessment </w:t>
            </w:r>
            <w:r w:rsidRPr="00081085">
              <w:t>must include:</w:t>
            </w:r>
          </w:p>
          <w:p w:rsidR="00000000" w:rsidRPr="00081085" w:rsidP="00081085">
            <w:pPr>
              <w:pStyle w:val="ListBullet"/>
            </w:pPr>
            <w:r w:rsidRPr="00081085">
              <w:t>a range of relevant exercises, case studies and/or simulations</w:t>
            </w:r>
          </w:p>
          <w:p w:rsidR="00000000" w:rsidRPr="00081085" w:rsidP="00081085">
            <w:pPr>
              <w:pStyle w:val="ListBullet"/>
            </w:pPr>
            <w:r w:rsidRPr="00081085">
              <w:t>relevant materials, tools, equipment and personal protective equipment (PPE) currently used in industry</w:t>
            </w:r>
          </w:p>
          <w:p w:rsidR="00000000" w:rsidRPr="00081085" w:rsidP="00081085">
            <w:pPr>
              <w:pStyle w:val="ListBullet"/>
            </w:pPr>
            <w:r w:rsidRPr="00081085">
              <w:t>applicable documentation, including workplace procedures, regulations, cod</w:t>
            </w:r>
            <w:r w:rsidRPr="00081085">
              <w:t>es of practice and operation manuals.</w:t>
            </w:r>
          </w:p>
        </w:tc>
      </w:tr>
    </w:tbl>
    <w:p w:rsidR="00000000" w:rsidRPr="00081085" w:rsidP="00081085">
      <w:pPr>
        <w:pStyle w:val="NoPaddingFontSize1"/>
      </w:pPr>
    </w:p>
    <w:p w:rsidR="00000000" w:rsidRPr="00081085" w:rsidP="00081085">
      <w:pPr>
        <w:pStyle w:val="AllowPageBreak"/>
      </w:pPr>
    </w:p>
    <w:p w:rsidR="00000000" w:rsidRPr="00081085" w:rsidP="00081085">
      <w:pPr>
        <w:pStyle w:val="Heading1"/>
      </w:pPr>
      <w:bookmarkStart w:id="15" w:name="O_1067741"/>
      <w:bookmarkEnd w:id="15"/>
      <w:r w:rsidRPr="00081085">
        <w:t>Links</w:t>
      </w:r>
    </w:p>
    <w:p w:rsidR="00000000" w:rsidRPr="00081085" w:rsidP="000B4559">
      <w:pPr>
        <w:pStyle w:val="BodyText"/>
      </w:pPr>
      <w:r w:rsidRPr="00081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3F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1085" w:rsidP="00081085"/>
    <w:sectPr w:rsidSect="000810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 w:rsidRPr="000B4559" w:rsidP="000B4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59" w:rsidP="00081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4559" w:rsidP="00081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4559" w:rsidP="000810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 w:rsidP="00081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559">
      <w:t>Approved</w:t>
    </w:r>
    <w:r w:rsidR="000B45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5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559">
      <w:rPr>
        <w:noProof/>
      </w:rPr>
      <w:t>4</w:t>
    </w:r>
    <w:r>
      <w:rPr>
        <w:noProof/>
      </w:rPr>
      <w:fldChar w:fldCharType="end"/>
    </w:r>
  </w:p>
  <w:p w:rsidR="00081085" w:rsidP="00081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5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559">
      <w:t>Industry Skills Australia</w:t>
    </w:r>
    <w:r w:rsidR="000B4559">
      <w:fldChar w:fldCharType="end"/>
    </w:r>
  </w:p>
  <w:p w:rsidR="00081085" w:rsidP="00081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085" w:rsidRPr="000B4559" w:rsidP="000B4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59" w:rsidRPr="002D2AF8" w:rsidP="00081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TLIX0008 Comply with biosecurity border clearance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4559" w:rsidP="000810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85" w:rsidRPr="002D2AF8" w:rsidP="00081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559">
      <w:t>TLIX0008 Comply with biosecurity border clearance</w:t>
    </w:r>
    <w:r w:rsidR="000B45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559">
      <w:rPr>
        <w:noProof/>
      </w:rPr>
      <w:t>2 March 2025</w:t>
    </w:r>
    <w:r>
      <w:fldChar w:fldCharType="end"/>
    </w:r>
  </w:p>
  <w:p w:rsidR="00081085" w:rsidP="00081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041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B68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085"/>
  </w:style>
  <w:style w:type="character" w:customStyle="1" w:styleId="Heading1Char">
    <w:name w:val="Heading 1 Char"/>
    <w:basedOn w:val="DefaultParagraphFont"/>
    <w:link w:val="Heading1"/>
    <w:rsid w:val="00081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0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085"/>
    <w:rPr>
      <w:b/>
      <w:spacing w:val="0"/>
    </w:rPr>
  </w:style>
  <w:style w:type="paragraph" w:customStyle="1" w:styleId="SuperHeading">
    <w:name w:val="SuperHeading"/>
    <w:basedOn w:val="Normal"/>
    <w:rsid w:val="00081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1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0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085"/>
    <w:rPr>
      <w:i/>
    </w:rPr>
  </w:style>
  <w:style w:type="paragraph" w:styleId="Caption">
    <w:name w:val="caption"/>
    <w:basedOn w:val="BodyText"/>
    <w:next w:val="Normal"/>
    <w:qFormat/>
    <w:rsid w:val="00081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085"/>
  </w:style>
  <w:style w:type="paragraph" w:styleId="TableofFigures">
    <w:name w:val="table of figures"/>
    <w:basedOn w:val="Normal"/>
    <w:next w:val="Normal"/>
    <w:semiHidden/>
    <w:rsid w:val="00081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0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085"/>
    <w:rPr>
      <w:rFonts w:ascii="Wingdings" w:hAnsi="Wingdings"/>
    </w:rPr>
  </w:style>
  <w:style w:type="paragraph" w:customStyle="1" w:styleId="TableHeading">
    <w:name w:val="Table Heading"/>
    <w:basedOn w:val="HeadingBase"/>
    <w:rsid w:val="00081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085"/>
    <w:rPr>
      <w:color w:val="0033CC"/>
      <w:u w:val="none"/>
    </w:rPr>
  </w:style>
  <w:style w:type="paragraph" w:customStyle="1" w:styleId="BodyTextRight">
    <w:name w:val="Body Text Right"/>
    <w:basedOn w:val="BodyText"/>
    <w:rsid w:val="00081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0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085"/>
    <w:rPr>
      <w:sz w:val="32"/>
    </w:rPr>
  </w:style>
  <w:style w:type="paragraph" w:customStyle="1" w:styleId="HeadingProcedure">
    <w:name w:val="Heading Procedure"/>
    <w:basedOn w:val="HeadingBase"/>
    <w:next w:val="Normal"/>
    <w:rsid w:val="00081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085"/>
    <w:pPr>
      <w:spacing w:before="60" w:after="60"/>
    </w:pPr>
  </w:style>
  <w:style w:type="paragraph" w:styleId="ListContinue">
    <w:name w:val="List Continue"/>
    <w:basedOn w:val="List"/>
    <w:rsid w:val="00081085"/>
    <w:pPr>
      <w:ind w:firstLine="0"/>
    </w:pPr>
  </w:style>
  <w:style w:type="paragraph" w:customStyle="1" w:styleId="ListNote">
    <w:name w:val="List Note"/>
    <w:basedOn w:val="List"/>
    <w:rsid w:val="00081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085"/>
    <w:rPr>
      <w:rFonts w:ascii="Courier New" w:hAnsi="Courier New"/>
    </w:rPr>
  </w:style>
  <w:style w:type="paragraph" w:customStyle="1" w:styleId="NoteBullet">
    <w:name w:val="Note Bullet"/>
    <w:basedOn w:val="Note"/>
    <w:rsid w:val="00081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0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085"/>
    <w:rPr>
      <w:b/>
      <w:smallCaps/>
    </w:rPr>
  </w:style>
  <w:style w:type="paragraph" w:customStyle="1" w:styleId="TableListNumber">
    <w:name w:val="Table List Number"/>
    <w:basedOn w:val="ListNumber"/>
    <w:rsid w:val="00081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085"/>
    <w:pPr>
      <w:numPr>
        <w:numId w:val="8"/>
      </w:numPr>
    </w:pPr>
  </w:style>
  <w:style w:type="paragraph" w:customStyle="1" w:styleId="ListAlpha2">
    <w:name w:val="List Alpha 2"/>
    <w:basedOn w:val="List2"/>
    <w:rsid w:val="00081085"/>
    <w:pPr>
      <w:numPr>
        <w:numId w:val="7"/>
      </w:numPr>
    </w:pPr>
  </w:style>
  <w:style w:type="paragraph" w:styleId="List2">
    <w:name w:val="List 2"/>
    <w:basedOn w:val="BodyText"/>
    <w:rsid w:val="00081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0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0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085"/>
    <w:pPr>
      <w:numPr>
        <w:numId w:val="3"/>
      </w:numPr>
    </w:pPr>
  </w:style>
  <w:style w:type="paragraph" w:styleId="ListContinue2">
    <w:name w:val="List Continue 2"/>
    <w:basedOn w:val="List2"/>
    <w:rsid w:val="00081085"/>
    <w:pPr>
      <w:ind w:firstLine="0"/>
    </w:pPr>
  </w:style>
  <w:style w:type="paragraph" w:styleId="ListContinue3">
    <w:name w:val="List Continue 3"/>
    <w:basedOn w:val="List3"/>
    <w:rsid w:val="00081085"/>
    <w:pPr>
      <w:ind w:left="1021" w:firstLine="0"/>
    </w:pPr>
  </w:style>
  <w:style w:type="paragraph" w:styleId="ListContinue4">
    <w:name w:val="List Continue 4"/>
    <w:basedOn w:val="List4"/>
    <w:rsid w:val="00081085"/>
    <w:pPr>
      <w:ind w:firstLine="0"/>
    </w:pPr>
  </w:style>
  <w:style w:type="paragraph" w:styleId="ListContinue5">
    <w:name w:val="List Continue 5"/>
    <w:basedOn w:val="List5"/>
    <w:rsid w:val="00081085"/>
    <w:pPr>
      <w:ind w:firstLine="0"/>
    </w:pPr>
  </w:style>
  <w:style w:type="paragraph" w:styleId="ListNumber3">
    <w:name w:val="List Number 3"/>
    <w:basedOn w:val="List3"/>
    <w:rsid w:val="00081085"/>
    <w:pPr>
      <w:numPr>
        <w:numId w:val="4"/>
      </w:numPr>
    </w:pPr>
  </w:style>
  <w:style w:type="paragraph" w:styleId="ListNumber4">
    <w:name w:val="List Number 4"/>
    <w:basedOn w:val="List4"/>
    <w:rsid w:val="00081085"/>
    <w:pPr>
      <w:numPr>
        <w:numId w:val="5"/>
      </w:numPr>
    </w:pPr>
  </w:style>
  <w:style w:type="paragraph" w:styleId="ListNumber5">
    <w:name w:val="List Number 5"/>
    <w:basedOn w:val="List5"/>
    <w:rsid w:val="00081085"/>
    <w:pPr>
      <w:numPr>
        <w:numId w:val="6"/>
      </w:numPr>
    </w:pPr>
  </w:style>
  <w:style w:type="paragraph" w:styleId="BlockText">
    <w:name w:val="Block Text"/>
    <w:basedOn w:val="Normal"/>
    <w:rsid w:val="00081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085"/>
    <w:rPr>
      <w:sz w:val="16"/>
      <w:vertAlign w:val="superscript"/>
    </w:rPr>
  </w:style>
  <w:style w:type="character" w:customStyle="1" w:styleId="Symbols">
    <w:name w:val="Symbols"/>
    <w:basedOn w:val="DefaultParagraphFont"/>
    <w:rsid w:val="00081085"/>
    <w:rPr>
      <w:rFonts w:ascii="Symbol" w:hAnsi="Symbol"/>
    </w:rPr>
  </w:style>
  <w:style w:type="character" w:customStyle="1" w:styleId="MenuOptions">
    <w:name w:val="Menu Options"/>
    <w:basedOn w:val="DefaultParagraphFont"/>
    <w:rsid w:val="00081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085"/>
    <w:rPr>
      <w:b/>
    </w:rPr>
  </w:style>
  <w:style w:type="character" w:customStyle="1" w:styleId="Underlined">
    <w:name w:val="Underlined"/>
    <w:basedOn w:val="DefaultParagraphFont"/>
    <w:rsid w:val="00081085"/>
    <w:rPr>
      <w:u w:val="single"/>
    </w:rPr>
  </w:style>
  <w:style w:type="paragraph" w:customStyle="1" w:styleId="TableBodyTextRight">
    <w:name w:val="Table Body Text Right"/>
    <w:basedOn w:val="TableBodyText"/>
    <w:rsid w:val="00081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085"/>
    <w:rPr>
      <w:sz w:val="18"/>
    </w:rPr>
  </w:style>
  <w:style w:type="paragraph" w:customStyle="1" w:styleId="BodySmallRight">
    <w:name w:val="Body Small Right"/>
    <w:basedOn w:val="BodyTextRight"/>
    <w:rsid w:val="00081085"/>
    <w:rPr>
      <w:sz w:val="18"/>
      <w:szCs w:val="18"/>
    </w:rPr>
  </w:style>
  <w:style w:type="paragraph" w:customStyle="1" w:styleId="MarginEdition">
    <w:name w:val="Margin Edition"/>
    <w:basedOn w:val="MarginNote"/>
    <w:rsid w:val="00081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085"/>
    <w:rPr>
      <w:sz w:val="2"/>
      <w:szCs w:val="2"/>
    </w:rPr>
  </w:style>
  <w:style w:type="character" w:customStyle="1" w:styleId="Small">
    <w:name w:val="Small"/>
    <w:basedOn w:val="DefaultParagraphFont"/>
    <w:rsid w:val="00081085"/>
    <w:rPr>
      <w:sz w:val="16"/>
    </w:rPr>
  </w:style>
  <w:style w:type="paragraph" w:customStyle="1" w:styleId="WideTable">
    <w:name w:val="Wide Table"/>
    <w:basedOn w:val="Normal"/>
    <w:rsid w:val="00081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085"/>
  </w:style>
  <w:style w:type="paragraph" w:styleId="Quote">
    <w:name w:val="Quote"/>
    <w:basedOn w:val="Heading1"/>
    <w:link w:val="QuoteChar"/>
    <w:qFormat/>
    <w:rsid w:val="00081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085"/>
    <w:pPr>
      <w:pageBreakBefore/>
    </w:pPr>
  </w:style>
  <w:style w:type="paragraph" w:customStyle="1" w:styleId="Border">
    <w:name w:val="Border"/>
    <w:basedOn w:val="Normal"/>
    <w:qFormat/>
    <w:rsid w:val="00081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085"/>
    <w:rPr>
      <w:u w:val="single"/>
    </w:rPr>
  </w:style>
  <w:style w:type="character" w:customStyle="1" w:styleId="BoldandItalics">
    <w:name w:val="Bold and Italics"/>
    <w:qFormat/>
    <w:rsid w:val="00081085"/>
    <w:rPr>
      <w:b/>
      <w:i/>
      <w:u w:val="none"/>
    </w:rPr>
  </w:style>
  <w:style w:type="paragraph" w:styleId="BalloonText">
    <w:name w:val="Balloon Text"/>
    <w:basedOn w:val="Normal"/>
    <w:link w:val="BalloonTextChar"/>
    <w:rsid w:val="00081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085"/>
    <w:pPr>
      <w:spacing w:before="0" w:after="0"/>
    </w:pPr>
  </w:style>
  <w:style w:type="paragraph" w:customStyle="1" w:styleId="BodyTextBold">
    <w:name w:val="Body Text Bold"/>
    <w:basedOn w:val="BodyText"/>
    <w:qFormat/>
    <w:rsid w:val="00081085"/>
    <w:rPr>
      <w:b/>
    </w:rPr>
  </w:style>
  <w:style w:type="character" w:styleId="Hyperlink">
    <w:name w:val="Hyperlink"/>
    <w:basedOn w:val="DefaultParagraphFont"/>
    <w:uiPriority w:val="99"/>
    <w:unhideWhenUsed/>
    <w:rsid w:val="000B4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6435</Characters>
  <Application>Microsoft Office Word</Application>
  <DocSecurity>0</DocSecurity>
  <Lines>229</Lines>
  <Paragraphs>110</Paragraphs>
  <ScaleCrop>false</ScaleCrop>
  <Company>Author-it Software Corporation Ltd.</Company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TLIX0008 Comply with biosecurity border clearance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2025-03-02T03:04:00Z</dcterms:created>
  <dcterms:modified xsi:type="dcterms:W3CDTF">2025-03-02T03:04:00Z</dcterms:modified>
</cp:coreProperties>
</file>