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4B2" w:rsidP="00317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TLIX0007X Build digital supply chain capability in the workforce</w:t>
      </w:r>
      <w:r>
        <w:fldChar w:fldCharType="end"/>
      </w:r>
    </w:p>
    <w:p w:rsidR="003174B2" w:rsidP="003174B2">
      <w:pPr>
        <w:pStyle w:val="Version"/>
        <w:sectPr w:rsidSect="007C6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DE9" w:rsidP="007C6DE9">
      <w:pPr>
        <w:pStyle w:val="SuperHeading"/>
      </w:pPr>
      <w:r w:rsidRPr="007C6DE9">
        <w:t>TLIX0007X Build digital supply chain capability in the workforce</w:t>
      </w:r>
    </w:p>
    <w:p w:rsidR="00000000" w:rsidRPr="007C6DE9" w:rsidP="007C6DE9">
      <w:pPr>
        <w:pStyle w:val="Heading1"/>
      </w:pPr>
      <w:bookmarkStart w:id="1" w:name="O_1067706"/>
      <w:bookmarkEnd w:id="1"/>
      <w:r w:rsidRPr="007C6D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Release 1.</w:t>
            </w:r>
            <w:r w:rsidRPr="007C6DE9">
              <w:t xml:space="preserve"> This is the first release of this unit of competency in the TLI Transport and Logistics Training Package.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2" w:name="O_1067707"/>
      <w:bookmarkEnd w:id="2"/>
      <w:r w:rsidRPr="007C6D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This unit of competency describes the skills and knowledge required to build digital supply chain capabilities in the workforce. It includes identifying supply chain workforce digital capabilities, developing a workforce digital capability plan, developing</w:t>
            </w:r>
            <w:r w:rsidRPr="007C6DE9">
              <w:t xml:space="preserve"> strategies to enhance workforce digital capabilities and reviewing and reporting on digital supply chain capabilities.</w:t>
            </w:r>
          </w:p>
          <w:p w:rsidR="00000000" w:rsidRPr="007C6DE9" w:rsidP="007C6DE9">
            <w:pPr>
              <w:pStyle w:val="BodyText"/>
            </w:pPr>
            <w:r w:rsidRPr="007C6DE9">
              <w:t>Workforce capability is defined as an organisation</w:t>
            </w:r>
            <w:r>
              <w:t>’</w:t>
            </w:r>
            <w:r w:rsidRPr="007C6DE9">
              <w:t>s ability to accomplish its objectives and goals through the knowledge, skills, abili</w:t>
            </w:r>
            <w:r w:rsidRPr="007C6DE9">
              <w:t xml:space="preserve">ties and competencies of its personnel. Building workforce capability in the use of, and engagement with, digital tools and equipment will require identifying knowledge and skill gaps. </w:t>
            </w:r>
          </w:p>
          <w:p w:rsidR="00000000" w:rsidRPr="007C6DE9" w:rsidP="007C6DE9">
            <w:pPr>
              <w:pStyle w:val="BodyText"/>
            </w:pPr>
            <w:r w:rsidRPr="007C6DE9">
              <w:t>The unit is applicable to those with management or team leadership res</w:t>
            </w:r>
            <w:r w:rsidRPr="007C6DE9">
              <w:t>ponsibilities within a supply chain.</w:t>
            </w:r>
          </w:p>
          <w:p w:rsidR="00000000" w:rsidRPr="007C6DE9" w:rsidP="007C6DE9">
            <w:pPr>
              <w:pStyle w:val="BodyText"/>
            </w:pPr>
            <w:r w:rsidRPr="007C6DE9">
              <w:t>No licensing, legislative or certification requirements apply to this unit at the time of publication.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3" w:name="O_1067708"/>
      <w:bookmarkEnd w:id="3"/>
      <w:r w:rsidRPr="007C6D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Not applicable.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4" w:name="O_1067709"/>
      <w:bookmarkEnd w:id="4"/>
      <w:r w:rsidRPr="007C6D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X - Logistics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5" w:name="O_1067710"/>
      <w:bookmarkEnd w:id="5"/>
      <w:r w:rsidRPr="007C6D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Cross sector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6" w:name="O_1067711"/>
      <w:bookmarkEnd w:id="6"/>
      <w:r w:rsidRPr="007C6D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PERFORMANCE CRITERIA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Performance criteria describe the performance needed to demonstrate achievement of the element.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 xml:space="preserve">Identify workforce </w:t>
            </w:r>
            <w:r w:rsidRPr="007C6DE9">
              <w:rPr>
                <w:rStyle w:val="SpecialBold"/>
              </w:rPr>
              <w:t xml:space="preserve">digital capabilities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 xml:space="preserve">Industry analysis to identify digital requirements in </w:t>
            </w:r>
            <w:r w:rsidRPr="007C6DE9">
              <w:t>supply chains and the implications of these for workforce</w:t>
            </w:r>
            <w:r w:rsidRPr="007C6DE9">
              <w:t xml:space="preserve"> planning is undertaken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knowledge and skill levels are identified and any gaps are mapped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Organisational culture, policies, procedures, processes and structures are determined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Develop workforce</w:t>
            </w:r>
            <w:r w:rsidRPr="007C6DE9">
              <w:t xml:space="preserve"> </w:t>
            </w:r>
            <w:r w:rsidRPr="007C6DE9">
              <w:rPr>
                <w:rStyle w:val="SpecialBold"/>
              </w:rPr>
              <w:t>digital capability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Rationale, goals and objectives for enhancing workforce digital supply chain capabilities are established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capability strategy plan is developed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Endorsement of workforce digital capability strategy plan and budget is obtaine</w:t>
            </w:r>
            <w:r w:rsidRPr="007C6DE9">
              <w:t>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Rationale, goals and objectives of enhancing workforce digital supply chain capabilities are communicated to all approved stakeholders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 xml:space="preserve">Workforce training plan is revised to include digital supply chain guidance and instruction 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Implement</w:t>
            </w:r>
            <w:r w:rsidRPr="007C6DE9">
              <w:t xml:space="preserve"> </w:t>
            </w:r>
            <w:r w:rsidRPr="007C6DE9">
              <w:rPr>
                <w:rStyle w:val="SpecialBold"/>
              </w:rPr>
              <w:t>strategies to enhance workforce digital capabilities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Training providers are evaluated and recommendations on partnering are made to approved personnel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Public funding sources for workforce development support programs are reviewed and utilised, as required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training plan is implemented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Professional development opportunities to enhance digital skills and knowledge for supply chain leaders and managers within the organisation are implemented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3</w:t>
            </w:r>
            <w:r w:rsidRPr="007C6DE9">
              <w:t>.</w:t>
            </w:r>
            <w:r w:rsidRPr="007C6DE9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coaching and mentoring program is developed and implemented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 xml:space="preserve">Review and </w:t>
            </w:r>
            <w:r w:rsidRPr="007C6DE9">
              <w:rPr>
                <w:rStyle w:val="SpecialBold"/>
              </w:rPr>
              <w:t>report on</w:t>
            </w:r>
            <w:r w:rsidRPr="007C6DE9">
              <w:t xml:space="preserve"> </w:t>
            </w:r>
            <w:r w:rsidRPr="007C6DE9">
              <w:rPr>
                <w:rStyle w:val="SpecialBold"/>
              </w:rPr>
              <w:t>digital</w:t>
            </w:r>
            <w:r w:rsidRPr="007C6DE9">
              <w:t xml:space="preserve"> </w:t>
            </w:r>
            <w:r w:rsidRPr="007C6DE9">
              <w:rPr>
                <w:rStyle w:val="SpecialBold"/>
              </w:rPr>
              <w:t xml:space="preserve">supply chain capabilities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supply chain capabilities are monitored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</w:p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Workforce digital capability programs and implementation strategies are evaluated and analysed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Supply chain workforce digital capabilities and recommendations are reported to approved personnel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Workforce digital capability strategy plan is revised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7" w:name="O_1067712"/>
      <w:bookmarkEnd w:id="7"/>
      <w:r w:rsidRPr="007C6D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Foundation skills essential to performance are explicit i</w:t>
            </w:r>
            <w:r w:rsidRPr="007C6DE9">
              <w:t>n the performance criteria of this unit of competency.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8" w:name="O_1067713"/>
      <w:bookmarkEnd w:id="8"/>
      <w:r w:rsidRPr="007C6D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Range is restricted to essential operating conditions and any other variables essential to the work environment.</w:t>
            </w:r>
          </w:p>
          <w:p w:rsidR="00000000" w:rsidRPr="007C6DE9" w:rsidP="007C6DE9">
            <w:pPr>
              <w:pStyle w:val="BodyText"/>
            </w:pPr>
            <w:r w:rsidRPr="007C6DE9">
              <w:t>Non-essential conditions may be found in the Companion Volume Implementation Guide.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9" w:name="O_1067714"/>
      <w:bookmarkEnd w:id="9"/>
      <w:r w:rsidRPr="007C6D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>This is a new unit. There is no equivalent unit.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10" w:name="O_1067721"/>
      <w:bookmarkEnd w:id="10"/>
      <w:r w:rsidRPr="007C6DE9">
        <w:t>Links</w:t>
      </w:r>
    </w:p>
    <w:p w:rsidR="00000000" w:rsidRPr="007C6DE9" w:rsidP="003174B2">
      <w:pPr>
        <w:pStyle w:val="BodyText"/>
      </w:pPr>
      <w:r w:rsidRPr="007C6DE9">
        <w:t>Companion Volume Implementation Guides are found i</w:t>
      </w:r>
      <w:r w:rsidRPr="007C6DE9">
        <w:t xml:space="preserve">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1C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6DE9" w:rsidP="003174B2">
      <w:pPr>
        <w:pStyle w:val="BodyText"/>
        <w:sectPr w:rsidSect="007C6D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6DE9" w:rsidP="007C6DE9">
      <w:pPr>
        <w:pStyle w:val="SuperHeading"/>
      </w:pPr>
      <w:r w:rsidRPr="007C6DE9">
        <w:t>Assessment Requirements for TLIX0007X Build digital supply chain capability in the workforce</w:t>
      </w:r>
    </w:p>
    <w:p w:rsidR="00000000" w:rsidRPr="007C6DE9" w:rsidP="007C6DE9">
      <w:pPr>
        <w:pStyle w:val="Heading1"/>
      </w:pPr>
      <w:bookmarkStart w:id="11" w:name="O_1067716"/>
      <w:bookmarkEnd w:id="11"/>
      <w:r w:rsidRPr="007C6DE9">
        <w:t>Mo</w:t>
      </w:r>
      <w:r w:rsidRPr="007C6DE9">
        <w:t>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rPr>
                <w:rStyle w:val="SpecialBold"/>
              </w:rPr>
              <w:t xml:space="preserve">Release 1. </w:t>
            </w:r>
            <w:r w:rsidRPr="007C6DE9">
              <w:t>This is the first release of this unit of competency in the TLI Transport and Logistics Training Package.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12" w:name="O_1067717"/>
      <w:bookmarkEnd w:id="12"/>
      <w:r w:rsidRPr="007C6D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ListBullet"/>
            </w:pPr>
            <w:r w:rsidRPr="007C6DE9">
              <w:t>analysing supply chain industry requirements</w:t>
            </w:r>
          </w:p>
          <w:p w:rsidR="00000000" w:rsidRPr="007C6DE9" w:rsidP="007C6DE9">
            <w:pPr>
              <w:pStyle w:val="ListBullet"/>
            </w:pPr>
            <w:r w:rsidRPr="007C6DE9">
              <w:t>communicating with s</w:t>
            </w:r>
            <w:r w:rsidRPr="007C6DE9">
              <w:t>takeholders</w:t>
            </w:r>
          </w:p>
          <w:p w:rsidR="00000000" w:rsidRPr="007C6DE9" w:rsidP="007C6DE9">
            <w:pPr>
              <w:pStyle w:val="ListBullet"/>
            </w:pPr>
            <w:r w:rsidRPr="007C6DE9">
              <w:t>conducting reviews</w:t>
            </w:r>
          </w:p>
          <w:p w:rsidR="00000000" w:rsidRPr="007C6DE9" w:rsidP="007C6DE9">
            <w:pPr>
              <w:pStyle w:val="ListBullet"/>
            </w:pPr>
            <w:r w:rsidRPr="007C6DE9">
              <w:t>developing and implementing coaching and mentoring programs</w:t>
            </w:r>
          </w:p>
          <w:p w:rsidR="00000000" w:rsidRPr="007C6DE9" w:rsidP="007C6DE9">
            <w:pPr>
              <w:pStyle w:val="ListBullet"/>
            </w:pPr>
            <w:r w:rsidRPr="007C6DE9">
              <w:t>developing and revising workforce digital capability strategic plans</w:t>
            </w:r>
          </w:p>
          <w:p w:rsidR="00000000" w:rsidRPr="007C6DE9" w:rsidP="007C6DE9">
            <w:pPr>
              <w:pStyle w:val="ListBullet"/>
            </w:pPr>
            <w:r w:rsidRPr="007C6DE9">
              <w:t>disseminating information to personnel</w:t>
            </w:r>
          </w:p>
          <w:p w:rsidR="00000000" w:rsidRPr="007C6DE9" w:rsidP="007C6DE9">
            <w:pPr>
              <w:pStyle w:val="ListBullet"/>
            </w:pPr>
            <w:r w:rsidRPr="007C6DE9">
              <w:t>identifying and mapping workforce gaps in digital knowled</w:t>
            </w:r>
            <w:r w:rsidRPr="007C6DE9">
              <w:t>ge and skills</w:t>
            </w:r>
          </w:p>
          <w:p w:rsidR="00000000" w:rsidRPr="007C6DE9" w:rsidP="007C6DE9">
            <w:pPr>
              <w:pStyle w:val="ListBullet"/>
            </w:pPr>
            <w:r w:rsidRPr="007C6DE9">
              <w:t>implementing organisational policies and procedures</w:t>
            </w:r>
          </w:p>
          <w:p w:rsidR="00000000" w:rsidRPr="007C6DE9" w:rsidP="007C6DE9">
            <w:pPr>
              <w:pStyle w:val="ListBullet"/>
            </w:pPr>
            <w:r w:rsidRPr="007C6DE9">
              <w:t>monitoring and reviewing workforce digital capabilities</w:t>
            </w:r>
          </w:p>
          <w:p w:rsidR="00000000" w:rsidRPr="007C6DE9" w:rsidP="007C6DE9">
            <w:pPr>
              <w:pStyle w:val="ListBullet"/>
            </w:pPr>
            <w:r w:rsidRPr="007C6DE9">
              <w:t xml:space="preserve">preparing reports </w:t>
            </w:r>
          </w:p>
          <w:p w:rsidR="00000000" w:rsidRPr="007C6DE9" w:rsidP="007C6DE9">
            <w:pPr>
              <w:pStyle w:val="ListBullet"/>
            </w:pPr>
            <w:r w:rsidRPr="007C6DE9">
              <w:t>reviewing and evaluating training and professional development programs</w:t>
            </w:r>
          </w:p>
          <w:p w:rsidR="00000000" w:rsidRPr="007C6DE9" w:rsidP="007C6DE9">
            <w:pPr>
              <w:pStyle w:val="ListBullet"/>
            </w:pPr>
            <w:r w:rsidRPr="007C6DE9">
              <w:t>undertaking evaluations</w:t>
            </w:r>
          </w:p>
          <w:p w:rsidR="00000000" w:rsidRPr="007C6DE9" w:rsidP="007C6DE9">
            <w:pPr>
              <w:pStyle w:val="ListBullet"/>
            </w:pPr>
            <w:r w:rsidRPr="007C6DE9">
              <w:t>using digital tools and equipment</w:t>
            </w:r>
          </w:p>
          <w:p w:rsidR="00000000" w:rsidRPr="007C6DE9" w:rsidP="007C6DE9">
            <w:pPr>
              <w:pStyle w:val="ListBullet"/>
            </w:pPr>
            <w:r w:rsidRPr="007C6DE9">
              <w:t>working with personnel to enhance digital knowledge and skills.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13" w:name="O_1067718"/>
      <w:bookmarkEnd w:id="13"/>
      <w:r w:rsidRPr="007C6D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E9">
            <w:pPr>
              <w:pStyle w:val="BodyText"/>
              <w:rPr>
                <w:lang w:val="en-NZ"/>
              </w:rPr>
            </w:pPr>
            <w:r w:rsidRPr="007C6DE9">
              <w:t>Evidence required to demonstrate competence in this unit must be relevant to and satisfy all the requirements of the e</w:t>
            </w:r>
            <w:r w:rsidRPr="007C6DE9">
              <w:t>lements and performance criteria and includes knowledge of</w:t>
            </w:r>
          </w:p>
        </w:tc>
      </w:tr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ListBullet"/>
            </w:pPr>
            <w:r w:rsidRPr="007C6DE9">
              <w:tab/>
              <w:t>analysis methods and tools</w:t>
            </w:r>
          </w:p>
          <w:p w:rsidR="00000000" w:rsidRPr="007C6DE9" w:rsidP="007C6DE9">
            <w:pPr>
              <w:pStyle w:val="ListBullet"/>
            </w:pPr>
            <w:r w:rsidRPr="007C6DE9">
              <w:t>communication methods and tools</w:t>
            </w:r>
          </w:p>
          <w:p w:rsidR="00000000" w:rsidRPr="007C6DE9" w:rsidP="007C6DE9">
            <w:pPr>
              <w:pStyle w:val="ListBullet"/>
            </w:pPr>
            <w:r w:rsidRPr="007C6DE9">
              <w:t xml:space="preserve">digital capability gap mapping </w:t>
            </w:r>
          </w:p>
          <w:p w:rsidR="00000000" w:rsidRPr="007C6DE9" w:rsidP="007C6DE9">
            <w:pPr>
              <w:pStyle w:val="ListBullet"/>
            </w:pPr>
            <w:r w:rsidRPr="007C6DE9">
              <w:t xml:space="preserve">digital literacy requirements </w:t>
            </w:r>
          </w:p>
          <w:p w:rsidR="00000000" w:rsidRPr="007C6DE9" w:rsidP="007C6DE9">
            <w:pPr>
              <w:pStyle w:val="ListBullet"/>
            </w:pPr>
            <w:r w:rsidRPr="007C6DE9">
              <w:t>digital software, hardware, tools and equipment</w:t>
            </w:r>
            <w:r w:rsidRPr="007C6DE9">
              <w:tab/>
            </w:r>
          </w:p>
          <w:p w:rsidR="00000000" w:rsidRPr="007C6DE9" w:rsidP="007C6DE9">
            <w:pPr>
              <w:pStyle w:val="ListBullet"/>
            </w:pPr>
            <w:r w:rsidRPr="007C6DE9">
              <w:t>evaluation methods for training and professional development programs</w:t>
            </w:r>
            <w:r w:rsidRPr="007C6DE9">
              <w:tab/>
            </w:r>
          </w:p>
          <w:p w:rsidR="00000000" w:rsidRPr="007C6DE9" w:rsidP="007C6DE9">
            <w:pPr>
              <w:pStyle w:val="ListBullet"/>
            </w:pPr>
            <w:r w:rsidRPr="007C6DE9">
              <w:tab/>
              <w:t>industry requirements for digital supply chain</w:t>
            </w:r>
          </w:p>
          <w:p w:rsidR="00000000" w:rsidRPr="007C6DE9" w:rsidP="007C6DE9">
            <w:pPr>
              <w:pStyle w:val="ListBullet"/>
            </w:pPr>
            <w:r w:rsidRPr="007C6DE9">
              <w:tab/>
              <w:t>information dissemination methods and tools</w:t>
            </w:r>
          </w:p>
          <w:p w:rsidR="00000000" w:rsidRPr="007C6DE9" w:rsidP="007C6DE9">
            <w:pPr>
              <w:pStyle w:val="ListBullet"/>
            </w:pPr>
            <w:r w:rsidRPr="007C6DE9">
              <w:t>organisational policies and procedures</w:t>
            </w:r>
          </w:p>
          <w:p w:rsidR="00000000" w:rsidRPr="007C6DE9" w:rsidP="007C6DE9">
            <w:pPr>
              <w:pStyle w:val="ListBullet"/>
            </w:pPr>
            <w:r w:rsidRPr="007C6DE9">
              <w:t>plans for training</w:t>
            </w:r>
          </w:p>
          <w:p w:rsidR="00000000" w:rsidRPr="007C6DE9" w:rsidP="007C6DE9">
            <w:pPr>
              <w:pStyle w:val="ListBullet"/>
            </w:pPr>
            <w:r w:rsidRPr="007C6DE9">
              <w:t>programs for coaching and mentorin</w:t>
            </w:r>
            <w:r w:rsidRPr="007C6DE9">
              <w:t xml:space="preserve">g </w:t>
            </w:r>
          </w:p>
          <w:p w:rsidR="00000000" w:rsidRPr="007C6DE9" w:rsidP="007C6DE9">
            <w:pPr>
              <w:pStyle w:val="ListBullet"/>
            </w:pPr>
            <w:r w:rsidRPr="007C6DE9">
              <w:t>review requirements and report preparation</w:t>
            </w:r>
          </w:p>
          <w:p w:rsidR="00000000" w:rsidRPr="007C6DE9" w:rsidP="007C6DE9">
            <w:pPr>
              <w:pStyle w:val="ListBullet"/>
            </w:pPr>
            <w:r w:rsidRPr="007C6DE9">
              <w:tab/>
              <w:t>strategies to enhance workforce digital supply chain capabilities</w:t>
            </w:r>
          </w:p>
          <w:p w:rsidR="00000000" w:rsidRPr="007C6DE9" w:rsidP="007C6DE9">
            <w:pPr>
              <w:pStyle w:val="ListBullet"/>
            </w:pPr>
            <w:r w:rsidRPr="007C6DE9">
              <w:t>techniques for identifying and mapping workforce gaps in digital knowledge and skills</w:t>
            </w:r>
          </w:p>
          <w:p w:rsidR="00000000" w:rsidRPr="007C6DE9" w:rsidP="007C6DE9">
            <w:pPr>
              <w:pStyle w:val="ListBullet"/>
            </w:pPr>
            <w:r w:rsidRPr="007C6DE9">
              <w:tab/>
              <w:t>workforce digital capability strategic plans.</w:t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14" w:name="O_1067719"/>
      <w:bookmarkEnd w:id="14"/>
      <w:r w:rsidRPr="007C6D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E9" w:rsidP="007C6DE9">
            <w:pPr>
              <w:pStyle w:val="BodyText"/>
            </w:pPr>
            <w:r w:rsidRPr="007C6DE9">
              <w:t xml:space="preserve">Assessors must hold credentials specified within the Standards for Registered Training Organisations current at the time of assessment. </w:t>
            </w:r>
          </w:p>
          <w:p w:rsidR="00000000" w:rsidRPr="007C6DE9" w:rsidP="007C6DE9">
            <w:pPr>
              <w:pStyle w:val="BodyText"/>
            </w:pPr>
            <w:r w:rsidRPr="007C6DE9">
              <w:t xml:space="preserve">Assessment must satisfy the Principles of Assessment and Rules of Evidence and </w:t>
            </w:r>
            <w:r w:rsidRPr="007C6DE9">
              <w:t>all regulatory requirements included within the Standards for Registered Training Organisations current at the time of assessment.</w:t>
            </w:r>
          </w:p>
          <w:p w:rsidR="00000000" w:rsidRPr="007C6DE9" w:rsidP="007C6DE9">
            <w:pPr>
              <w:pStyle w:val="BodyText"/>
            </w:pPr>
            <w:r w:rsidRPr="007C6DE9">
              <w:t>Assessment must occur in workplace operational situations where it is appropriate to do so. Where this is not appropriate, as</w:t>
            </w:r>
            <w:r w:rsidRPr="007C6DE9">
              <w:t>sessment must occur in simulated workplace operational situations that replicate workplace conditions.</w:t>
            </w:r>
          </w:p>
          <w:p w:rsidR="00000000" w:rsidRPr="007C6DE9" w:rsidP="007C6DE9">
            <w:pPr>
              <w:pStyle w:val="BodyText"/>
            </w:pPr>
            <w:r w:rsidRPr="007C6DE9">
              <w:t xml:space="preserve">Assessment processes and techniques must be appropriate to the language, literacy and numeracy requirements of the work being performed and the needs of </w:t>
            </w:r>
            <w:r w:rsidRPr="007C6DE9">
              <w:t>the candidate.</w:t>
            </w:r>
          </w:p>
          <w:p w:rsidR="00000000" w:rsidRPr="007C6DE9" w:rsidP="007C6DE9">
            <w:pPr>
              <w:pStyle w:val="BodyText"/>
            </w:pPr>
            <w:r w:rsidRPr="007C6DE9">
              <w:t>Resources for assessment must include access to a range of</w:t>
            </w:r>
          </w:p>
          <w:p w:rsidR="00000000" w:rsidRPr="007C6DE9" w:rsidP="007C6DE9">
            <w:pPr>
              <w:pStyle w:val="ListBullet"/>
            </w:pPr>
            <w:r w:rsidRPr="007C6DE9">
              <w:t>exercises, case studies or other simulations</w:t>
            </w:r>
          </w:p>
          <w:p w:rsidR="00000000" w:rsidRPr="007C6DE9" w:rsidP="007C6DE9">
            <w:pPr>
              <w:pStyle w:val="ListBullet"/>
            </w:pPr>
            <w:r w:rsidRPr="007C6DE9">
              <w:t>materials and tools including digital supply chain equipment used in industry</w:t>
            </w:r>
          </w:p>
          <w:p w:rsidR="00000000" w:rsidRPr="007C6DE9" w:rsidP="007C6DE9">
            <w:pPr>
              <w:pStyle w:val="ListBullet"/>
            </w:pPr>
            <w:r w:rsidRPr="007C6DE9">
              <w:t>documentation including organisational policies and proced</w:t>
            </w:r>
            <w:r w:rsidRPr="007C6DE9">
              <w:t>ures, industry standards, regulations, codes of practice, operational manuals and equipment specifications.</w:t>
            </w:r>
            <w:r w:rsidRPr="007C6DE9">
              <w:tab/>
            </w:r>
          </w:p>
        </w:tc>
      </w:tr>
    </w:tbl>
    <w:p w:rsidR="00000000" w:rsidRPr="007C6DE9" w:rsidP="007C6DE9">
      <w:pPr>
        <w:pStyle w:val="NoPaddingFontSize1"/>
      </w:pPr>
    </w:p>
    <w:p w:rsidR="00000000" w:rsidRPr="007C6DE9" w:rsidP="007C6DE9">
      <w:pPr>
        <w:pStyle w:val="AllowPageBreak"/>
      </w:pPr>
    </w:p>
    <w:p w:rsidR="00000000" w:rsidRPr="007C6DE9" w:rsidP="007C6DE9">
      <w:pPr>
        <w:pStyle w:val="Heading1"/>
      </w:pPr>
      <w:bookmarkStart w:id="15" w:name="O_1067722"/>
      <w:bookmarkEnd w:id="15"/>
      <w:r w:rsidRPr="007C6DE9">
        <w:t>Links</w:t>
      </w:r>
    </w:p>
    <w:p w:rsidR="00000000" w:rsidRPr="007C6DE9" w:rsidP="003174B2">
      <w:pPr>
        <w:pStyle w:val="BodyText"/>
      </w:pPr>
      <w:r w:rsidRPr="007C6DE9">
        <w:t>Companion Volume Imp</w:t>
      </w:r>
      <w:r w:rsidRPr="007C6DE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1C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6DE9" w:rsidP="007C6DE9"/>
    <w:sectPr w:rsidSect="007C6D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 w:rsidRPr="003174B2" w:rsidP="00317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B2" w:rsidP="007C6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4B2" w:rsidP="007C6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74B2" w:rsidP="007C6D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 w:rsidP="007C6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74B2">
      <w:t>Approved</w:t>
    </w:r>
    <w:r w:rsidR="003174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74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74B2">
      <w:rPr>
        <w:noProof/>
      </w:rPr>
      <w:t>4</w:t>
    </w:r>
    <w:r>
      <w:rPr>
        <w:noProof/>
      </w:rPr>
      <w:fldChar w:fldCharType="end"/>
    </w:r>
  </w:p>
  <w:p w:rsidR="007C6DE9" w:rsidP="007C6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74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74B2">
      <w:t>Industry Skills Australia</w:t>
    </w:r>
    <w:r w:rsidR="003174B2">
      <w:fldChar w:fldCharType="end"/>
    </w:r>
  </w:p>
  <w:p w:rsidR="007C6DE9" w:rsidP="007C6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DE9" w:rsidRPr="003174B2" w:rsidP="00317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B2" w:rsidRPr="002D2AF8" w:rsidP="007C6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TLIX0007X Build digital supply chain capability in the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74B2" w:rsidP="007C6D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E9" w:rsidRPr="002D2AF8" w:rsidP="007C6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74B2">
      <w:t>TLIX0007X Build digital supply chain capability in the workforce</w:t>
    </w:r>
    <w:r w:rsidR="003174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74B2">
      <w:rPr>
        <w:noProof/>
      </w:rPr>
      <w:t>2 March 2025</w:t>
    </w:r>
    <w:r>
      <w:fldChar w:fldCharType="end"/>
    </w:r>
  </w:p>
  <w:p w:rsidR="007C6DE9" w:rsidP="007C6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C9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623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DE9"/>
  </w:style>
  <w:style w:type="character" w:customStyle="1" w:styleId="Heading1Char">
    <w:name w:val="Heading 1 Char"/>
    <w:basedOn w:val="DefaultParagraphFont"/>
    <w:link w:val="Heading1"/>
    <w:rsid w:val="007C6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D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DE9"/>
    <w:rPr>
      <w:b/>
      <w:spacing w:val="0"/>
    </w:rPr>
  </w:style>
  <w:style w:type="paragraph" w:customStyle="1" w:styleId="SuperHeading">
    <w:name w:val="SuperHeading"/>
    <w:basedOn w:val="Normal"/>
    <w:rsid w:val="007C6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6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D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DE9"/>
    <w:rPr>
      <w:i/>
    </w:rPr>
  </w:style>
  <w:style w:type="paragraph" w:styleId="Caption">
    <w:name w:val="caption"/>
    <w:basedOn w:val="BodyText"/>
    <w:next w:val="Normal"/>
    <w:qFormat/>
    <w:rsid w:val="007C6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DE9"/>
  </w:style>
  <w:style w:type="paragraph" w:styleId="TableofFigures">
    <w:name w:val="table of figures"/>
    <w:basedOn w:val="Normal"/>
    <w:next w:val="Normal"/>
    <w:semiHidden/>
    <w:rsid w:val="007C6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D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DE9"/>
    <w:rPr>
      <w:rFonts w:ascii="Wingdings" w:hAnsi="Wingdings"/>
    </w:rPr>
  </w:style>
  <w:style w:type="paragraph" w:customStyle="1" w:styleId="TableHeading">
    <w:name w:val="Table Heading"/>
    <w:basedOn w:val="HeadingBase"/>
    <w:rsid w:val="007C6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DE9"/>
    <w:rPr>
      <w:color w:val="0033CC"/>
      <w:u w:val="none"/>
    </w:rPr>
  </w:style>
  <w:style w:type="paragraph" w:customStyle="1" w:styleId="BodyTextRight">
    <w:name w:val="Body Text Right"/>
    <w:basedOn w:val="BodyText"/>
    <w:rsid w:val="007C6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D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DE9"/>
    <w:rPr>
      <w:sz w:val="32"/>
    </w:rPr>
  </w:style>
  <w:style w:type="paragraph" w:customStyle="1" w:styleId="HeadingProcedure">
    <w:name w:val="Heading Procedure"/>
    <w:basedOn w:val="HeadingBase"/>
    <w:next w:val="Normal"/>
    <w:rsid w:val="007C6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DE9"/>
    <w:pPr>
      <w:spacing w:before="60" w:after="60"/>
    </w:pPr>
  </w:style>
  <w:style w:type="paragraph" w:styleId="ListContinue">
    <w:name w:val="List Continue"/>
    <w:basedOn w:val="List"/>
    <w:rsid w:val="007C6DE9"/>
    <w:pPr>
      <w:ind w:firstLine="0"/>
    </w:pPr>
  </w:style>
  <w:style w:type="paragraph" w:customStyle="1" w:styleId="ListNote">
    <w:name w:val="List Note"/>
    <w:basedOn w:val="List"/>
    <w:rsid w:val="007C6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DE9"/>
    <w:rPr>
      <w:rFonts w:ascii="Courier New" w:hAnsi="Courier New"/>
    </w:rPr>
  </w:style>
  <w:style w:type="paragraph" w:customStyle="1" w:styleId="NoteBullet">
    <w:name w:val="Note Bullet"/>
    <w:basedOn w:val="Note"/>
    <w:rsid w:val="007C6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D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DE9"/>
    <w:rPr>
      <w:b/>
      <w:smallCaps/>
    </w:rPr>
  </w:style>
  <w:style w:type="paragraph" w:customStyle="1" w:styleId="TableListNumber">
    <w:name w:val="Table List Number"/>
    <w:basedOn w:val="ListNumber"/>
    <w:rsid w:val="007C6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DE9"/>
    <w:pPr>
      <w:numPr>
        <w:numId w:val="8"/>
      </w:numPr>
    </w:pPr>
  </w:style>
  <w:style w:type="paragraph" w:customStyle="1" w:styleId="ListAlpha2">
    <w:name w:val="List Alpha 2"/>
    <w:basedOn w:val="List2"/>
    <w:rsid w:val="007C6DE9"/>
    <w:pPr>
      <w:numPr>
        <w:numId w:val="7"/>
      </w:numPr>
    </w:pPr>
  </w:style>
  <w:style w:type="paragraph" w:styleId="List2">
    <w:name w:val="List 2"/>
    <w:basedOn w:val="BodyText"/>
    <w:rsid w:val="007C6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D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D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DE9"/>
    <w:pPr>
      <w:numPr>
        <w:numId w:val="3"/>
      </w:numPr>
    </w:pPr>
  </w:style>
  <w:style w:type="paragraph" w:styleId="ListContinue2">
    <w:name w:val="List Continue 2"/>
    <w:basedOn w:val="List2"/>
    <w:rsid w:val="007C6DE9"/>
    <w:pPr>
      <w:ind w:firstLine="0"/>
    </w:pPr>
  </w:style>
  <w:style w:type="paragraph" w:styleId="ListContinue3">
    <w:name w:val="List Continue 3"/>
    <w:basedOn w:val="List3"/>
    <w:rsid w:val="007C6DE9"/>
    <w:pPr>
      <w:ind w:left="1021" w:firstLine="0"/>
    </w:pPr>
  </w:style>
  <w:style w:type="paragraph" w:styleId="ListContinue4">
    <w:name w:val="List Continue 4"/>
    <w:basedOn w:val="List4"/>
    <w:rsid w:val="007C6DE9"/>
    <w:pPr>
      <w:ind w:firstLine="0"/>
    </w:pPr>
  </w:style>
  <w:style w:type="paragraph" w:styleId="ListContinue5">
    <w:name w:val="List Continue 5"/>
    <w:basedOn w:val="List5"/>
    <w:rsid w:val="007C6DE9"/>
    <w:pPr>
      <w:ind w:firstLine="0"/>
    </w:pPr>
  </w:style>
  <w:style w:type="paragraph" w:styleId="ListNumber3">
    <w:name w:val="List Number 3"/>
    <w:basedOn w:val="List3"/>
    <w:rsid w:val="007C6DE9"/>
    <w:pPr>
      <w:numPr>
        <w:numId w:val="4"/>
      </w:numPr>
    </w:pPr>
  </w:style>
  <w:style w:type="paragraph" w:styleId="ListNumber4">
    <w:name w:val="List Number 4"/>
    <w:basedOn w:val="List4"/>
    <w:rsid w:val="007C6DE9"/>
    <w:pPr>
      <w:numPr>
        <w:numId w:val="5"/>
      </w:numPr>
    </w:pPr>
  </w:style>
  <w:style w:type="paragraph" w:styleId="ListNumber5">
    <w:name w:val="List Number 5"/>
    <w:basedOn w:val="List5"/>
    <w:rsid w:val="007C6DE9"/>
    <w:pPr>
      <w:numPr>
        <w:numId w:val="6"/>
      </w:numPr>
    </w:pPr>
  </w:style>
  <w:style w:type="paragraph" w:styleId="BlockText">
    <w:name w:val="Block Text"/>
    <w:basedOn w:val="Normal"/>
    <w:rsid w:val="007C6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DE9"/>
    <w:rPr>
      <w:sz w:val="16"/>
      <w:vertAlign w:val="superscript"/>
    </w:rPr>
  </w:style>
  <w:style w:type="character" w:customStyle="1" w:styleId="Symbols">
    <w:name w:val="Symbols"/>
    <w:basedOn w:val="DefaultParagraphFont"/>
    <w:rsid w:val="007C6DE9"/>
    <w:rPr>
      <w:rFonts w:ascii="Symbol" w:hAnsi="Symbol"/>
    </w:rPr>
  </w:style>
  <w:style w:type="character" w:customStyle="1" w:styleId="MenuOptions">
    <w:name w:val="Menu Options"/>
    <w:basedOn w:val="DefaultParagraphFont"/>
    <w:rsid w:val="007C6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DE9"/>
    <w:rPr>
      <w:b/>
    </w:rPr>
  </w:style>
  <w:style w:type="character" w:customStyle="1" w:styleId="Underlined">
    <w:name w:val="Underlined"/>
    <w:basedOn w:val="DefaultParagraphFont"/>
    <w:rsid w:val="007C6DE9"/>
    <w:rPr>
      <w:u w:val="single"/>
    </w:rPr>
  </w:style>
  <w:style w:type="paragraph" w:customStyle="1" w:styleId="TableBodyTextRight">
    <w:name w:val="Table Body Text Right"/>
    <w:basedOn w:val="TableBodyText"/>
    <w:rsid w:val="007C6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DE9"/>
    <w:rPr>
      <w:sz w:val="18"/>
    </w:rPr>
  </w:style>
  <w:style w:type="paragraph" w:customStyle="1" w:styleId="BodySmallRight">
    <w:name w:val="Body Small Right"/>
    <w:basedOn w:val="BodyTextRight"/>
    <w:rsid w:val="007C6DE9"/>
    <w:rPr>
      <w:sz w:val="18"/>
      <w:szCs w:val="18"/>
    </w:rPr>
  </w:style>
  <w:style w:type="paragraph" w:customStyle="1" w:styleId="MarginEdition">
    <w:name w:val="Margin Edition"/>
    <w:basedOn w:val="MarginNote"/>
    <w:rsid w:val="007C6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DE9"/>
    <w:rPr>
      <w:sz w:val="2"/>
      <w:szCs w:val="2"/>
    </w:rPr>
  </w:style>
  <w:style w:type="character" w:customStyle="1" w:styleId="Small">
    <w:name w:val="Small"/>
    <w:basedOn w:val="DefaultParagraphFont"/>
    <w:rsid w:val="007C6DE9"/>
    <w:rPr>
      <w:sz w:val="16"/>
    </w:rPr>
  </w:style>
  <w:style w:type="paragraph" w:customStyle="1" w:styleId="WideTable">
    <w:name w:val="Wide Table"/>
    <w:basedOn w:val="Normal"/>
    <w:rsid w:val="007C6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DE9"/>
  </w:style>
  <w:style w:type="paragraph" w:styleId="Quote">
    <w:name w:val="Quote"/>
    <w:basedOn w:val="Heading1"/>
    <w:link w:val="QuoteChar"/>
    <w:qFormat/>
    <w:rsid w:val="007C6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DE9"/>
    <w:pPr>
      <w:pageBreakBefore/>
    </w:pPr>
  </w:style>
  <w:style w:type="paragraph" w:customStyle="1" w:styleId="Border">
    <w:name w:val="Border"/>
    <w:basedOn w:val="Normal"/>
    <w:qFormat/>
    <w:rsid w:val="007C6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DE9"/>
    <w:rPr>
      <w:u w:val="single"/>
    </w:rPr>
  </w:style>
  <w:style w:type="character" w:customStyle="1" w:styleId="BoldandItalics">
    <w:name w:val="Bold and Italics"/>
    <w:qFormat/>
    <w:rsid w:val="007C6DE9"/>
    <w:rPr>
      <w:b/>
      <w:i/>
      <w:u w:val="none"/>
    </w:rPr>
  </w:style>
  <w:style w:type="paragraph" w:styleId="BalloonText">
    <w:name w:val="Balloon Text"/>
    <w:basedOn w:val="Normal"/>
    <w:link w:val="BalloonTextChar"/>
    <w:rsid w:val="007C6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DE9"/>
    <w:pPr>
      <w:spacing w:before="0" w:after="0"/>
    </w:pPr>
  </w:style>
  <w:style w:type="paragraph" w:customStyle="1" w:styleId="BodyTextBold">
    <w:name w:val="Body Text Bold"/>
    <w:basedOn w:val="BodyText"/>
    <w:qFormat/>
    <w:rsid w:val="007C6DE9"/>
    <w:rPr>
      <w:b/>
    </w:rPr>
  </w:style>
  <w:style w:type="character" w:styleId="Hyperlink">
    <w:name w:val="Hyperlink"/>
    <w:basedOn w:val="DefaultParagraphFont"/>
    <w:uiPriority w:val="99"/>
    <w:unhideWhenUsed/>
    <w:rsid w:val="00317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6519</Characters>
  <Application>Microsoft Office Word</Application>
  <DocSecurity>0</DocSecurity>
  <Lines>241</Lines>
  <Paragraphs>141</Paragraphs>
  <ScaleCrop>false</ScaleCrop>
  <Company>Author-it Software Corporation Ltd.</Company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TLIX0007X Build digital supply chain capability in the workforce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