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79C0" w:rsidP="00F979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TLIX0003 Conduct advanced border clearance functions</w:t>
      </w:r>
      <w:r>
        <w:fldChar w:fldCharType="end"/>
      </w:r>
    </w:p>
    <w:p w:rsidR="00F979C0" w:rsidP="00F979C0">
      <w:pPr>
        <w:pStyle w:val="Version"/>
        <w:sectPr w:rsidSect="00CA7F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F15" w:rsidP="00CA7F15">
      <w:pPr>
        <w:pStyle w:val="SuperHeading"/>
      </w:pPr>
      <w:r w:rsidRPr="00CA7F15">
        <w:t>TLIX0003 Conduct advanced border clearance functions</w:t>
      </w:r>
    </w:p>
    <w:p w:rsidR="00000000" w:rsidRPr="00CA7F15" w:rsidP="00CA7F15">
      <w:pPr>
        <w:pStyle w:val="Heading1"/>
      </w:pPr>
      <w:bookmarkStart w:id="1" w:name="O_838424"/>
      <w:bookmarkEnd w:id="1"/>
      <w:r w:rsidRPr="00CA7F15">
        <w:t>Modification History</w:t>
      </w:r>
    </w:p>
    <w:p w:rsidR="00F979C0" w:rsidP="00F979C0">
      <w:pPr>
        <w:pStyle w:val="BodyText"/>
      </w:pPr>
      <w:r w:rsidRPr="00CA7F15">
        <w:t>Release 1. This is the first release of this unit of competency in the TLI Transport and Logistics Training Package.</w:t>
      </w:r>
    </w:p>
    <w:p w:rsidR="00000000" w:rsidRPr="00CA7F15" w:rsidP="00CA7F15">
      <w:pPr>
        <w:pStyle w:val="Heading1"/>
      </w:pPr>
      <w:bookmarkStart w:id="2" w:name="O_838425"/>
      <w:bookmarkEnd w:id="2"/>
      <w:r w:rsidRPr="00CA7F15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979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F15" w:rsidP="00CA7F15">
            <w:pPr>
              <w:pStyle w:val="BodyText"/>
            </w:pPr>
            <w:r w:rsidRPr="00CA7F15">
              <w:t>This unit involves the skills and knowledge required to carry out basic border c</w:t>
            </w:r>
            <w:r w:rsidRPr="00CA7F15">
              <w:t xml:space="preserve">learance functions in accordance with relevant legislative and workplace requirements. </w:t>
            </w:r>
          </w:p>
          <w:p w:rsidR="00000000" w:rsidRPr="00CA7F15" w:rsidP="00CA7F15">
            <w:pPr>
              <w:pStyle w:val="BodyText"/>
            </w:pPr>
            <w:r w:rsidRPr="00CA7F15">
              <w:t>It includes creating import declarations for import clearance, resolving problems arising from lodgement of entries or import declarations, and undertaking post-entry a</w:t>
            </w:r>
            <w:r w:rsidRPr="00CA7F15">
              <w:t xml:space="preserve">mendments. </w:t>
            </w:r>
          </w:p>
          <w:p w:rsidR="00000000" w:rsidRPr="00CA7F15" w:rsidP="00CA7F15">
            <w:pPr>
              <w:pStyle w:val="BodyText"/>
            </w:pPr>
            <w:r w:rsidRPr="00CA7F15">
              <w:t xml:space="preserve">This unit applies to individuals working as a customs broker. </w:t>
            </w:r>
          </w:p>
          <w:p w:rsidR="00000000" w:rsidRPr="00CA7F15" w:rsidP="00CA7F15">
            <w:pPr>
              <w:pStyle w:val="BodyText"/>
            </w:pPr>
            <w:r w:rsidRPr="00CA7F15">
              <w:t>Work is undertaken in a range of environments including small to large worksites in the customs broking and international freight forwarding industries.</w:t>
            </w:r>
          </w:p>
          <w:p w:rsidR="00000000" w:rsidRPr="00CA7F15" w:rsidP="00CA7F15">
            <w:pPr>
              <w:pStyle w:val="BodyText"/>
            </w:pPr>
            <w:r w:rsidRPr="00CA7F15">
              <w:t>No licensing, legislative or</w:t>
            </w:r>
            <w:r w:rsidRPr="00CA7F15">
              <w:t xml:space="preserve"> certification requirements apply to this unit at the time of publication.</w:t>
            </w:r>
          </w:p>
        </w:tc>
      </w:tr>
    </w:tbl>
    <w:p w:rsidR="00F979C0" w:rsidP="00CA7F15">
      <w:pPr>
        <w:pStyle w:val="BodyText"/>
      </w:pPr>
    </w:p>
    <w:p w:rsidR="00F979C0" w:rsidP="00CA7F15">
      <w:pPr>
        <w:pStyle w:val="BodyText"/>
      </w:pPr>
    </w:p>
    <w:p w:rsidR="00000000" w:rsidRPr="00CA7F15" w:rsidP="00CA7F15">
      <w:pPr>
        <w:pStyle w:val="Heading1"/>
      </w:pPr>
      <w:bookmarkStart w:id="3" w:name="O_838426"/>
      <w:bookmarkEnd w:id="3"/>
      <w:r w:rsidRPr="00CA7F15">
        <w:t>Pre-requisite Unit</w:t>
      </w:r>
    </w:p>
    <w:p w:rsidR="00F979C0" w:rsidP="00F979C0">
      <w:pPr>
        <w:pStyle w:val="BodyText"/>
      </w:pPr>
      <w:r w:rsidRPr="00CA7F15">
        <w:t>Not applicable.</w:t>
      </w:r>
    </w:p>
    <w:p w:rsidR="00000000" w:rsidRPr="00CA7F15" w:rsidP="00CA7F15">
      <w:pPr>
        <w:pStyle w:val="Heading1"/>
      </w:pPr>
      <w:bookmarkStart w:id="4" w:name="O_838427"/>
      <w:bookmarkEnd w:id="4"/>
      <w:r w:rsidRPr="00CA7F15">
        <w:t>Competency Field</w:t>
      </w:r>
    </w:p>
    <w:p w:rsidR="00F979C0" w:rsidP="00F979C0">
      <w:pPr>
        <w:pStyle w:val="BodyText"/>
      </w:pPr>
      <w:r w:rsidRPr="00CA7F15">
        <w:t>X – Logistics</w:t>
      </w:r>
    </w:p>
    <w:p w:rsidR="00000000" w:rsidRPr="00CA7F15" w:rsidP="00CA7F15">
      <w:pPr>
        <w:pStyle w:val="Heading1"/>
      </w:pPr>
      <w:bookmarkStart w:id="5" w:name="O_838428"/>
      <w:bookmarkEnd w:id="5"/>
      <w:r w:rsidRPr="00CA7F15">
        <w:t>Unit Sector</w:t>
      </w:r>
    </w:p>
    <w:p w:rsidR="00000000" w:rsidRPr="00CA7F15" w:rsidP="00F979C0">
      <w:pPr>
        <w:pStyle w:val="BodyText"/>
      </w:pPr>
      <w:r w:rsidRPr="00CA7F15">
        <w:t>Not applicable.</w:t>
      </w:r>
    </w:p>
    <w:p w:rsidR="00000000" w:rsidRPr="00CA7F15" w:rsidP="00CA7F15">
      <w:pPr>
        <w:pStyle w:val="Heading1"/>
      </w:pPr>
      <w:bookmarkStart w:id="6" w:name="O_838429"/>
      <w:bookmarkEnd w:id="6"/>
      <w:r w:rsidRPr="00CA7F1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"/>
        <w:gridCol w:w="1809"/>
        <w:gridCol w:w="1"/>
        <w:gridCol w:w="565"/>
        <w:gridCol w:w="6481"/>
      </w:tblGrid>
      <w:tr w:rsidTr="00F97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F15" w:rsidP="00CA7F15">
            <w:pPr>
              <w:pStyle w:val="BodyText"/>
            </w:pPr>
            <w:r w:rsidRPr="00CA7F1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rPr>
                <w:rStyle w:val="SpecialBold"/>
              </w:rPr>
              <w:t>PERFORMANCE CRITERIA</w:t>
            </w:r>
          </w:p>
        </w:tc>
      </w:tr>
      <w:tr w:rsidTr="00F97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Performance criteria describe the performance needed to demonstrate achievement of the element.</w:t>
            </w:r>
          </w:p>
        </w:tc>
      </w:tr>
      <w:tr w:rsidTr="00F97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F15" w:rsidP="00CA7F15">
            <w:pPr>
              <w:pStyle w:val="BodyText"/>
            </w:pPr>
            <w:r w:rsidRPr="00CA7F1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rPr>
                <w:rStyle w:val="SpecialBold"/>
              </w:rPr>
              <w:t>Outline the structure and effect of Australian legislation in relation to importing and exporting cargo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Role of Acts and regulations within the national context is explained</w:t>
            </w:r>
          </w:p>
        </w:tc>
      </w:tr>
      <w:tr w:rsidTr="00F97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Relevant legislation about the control of cargo crossing the Australian</w:t>
            </w:r>
            <w:r w:rsidRPr="00CA7F15">
              <w:t xml:space="preserve"> border is explained</w:t>
            </w:r>
          </w:p>
        </w:tc>
      </w:tr>
      <w:tr w:rsidTr="00F97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Authority and function of the Australian Government and its officers under border control legislation is explained</w:t>
            </w:r>
          </w:p>
        </w:tc>
      </w:tr>
      <w:tr w:rsidTr="00F97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Responsibilities and obligations of a licensed customs broker under border control legislation are explained</w:t>
            </w:r>
          </w:p>
        </w:tc>
      </w:tr>
      <w:tr w:rsidTr="00F97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Powers of the regulatory authority and their officers are explained</w:t>
            </w:r>
          </w:p>
        </w:tc>
      </w:tr>
      <w:tr w:rsidTr="00F97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Provisions and reasons for issuing of infringements subject to pe</w:t>
            </w:r>
            <w:r w:rsidRPr="00CA7F15">
              <w:t>nalty provisions and the responsibilities of brokers and clients are explained</w:t>
            </w:r>
          </w:p>
        </w:tc>
      </w:tr>
      <w:tr w:rsidTr="00F97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F15" w:rsidP="00CA7F15">
            <w:pPr>
              <w:pStyle w:val="BodyText"/>
            </w:pPr>
            <w:r w:rsidRPr="00CA7F1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rPr>
                <w:rStyle w:val="SpecialBold"/>
              </w:rPr>
              <w:t xml:space="preserve">Report the movement of cargo to authorities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Reporting functions and information required for cargo imports and exports are identified</w:t>
            </w:r>
          </w:p>
        </w:tc>
      </w:tr>
      <w:tr w:rsidTr="00F97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Processes required to complete and lodge import and export declarations are followed</w:t>
            </w:r>
          </w:p>
        </w:tc>
      </w:tr>
      <w:tr w:rsidTr="00F97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Timeline for submission of cargo reports is used to plan and prioritise work</w:t>
            </w:r>
          </w:p>
        </w:tc>
      </w:tr>
      <w:tr w:rsidTr="00F97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 xml:space="preserve">Appropriate action is taken to ensure information </w:t>
            </w:r>
            <w:r w:rsidRPr="00CA7F15">
              <w:t>supplied is compliant with regulatory requirements</w:t>
            </w:r>
          </w:p>
        </w:tc>
      </w:tr>
      <w:tr w:rsidTr="00F97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Permits and other related documentation for reporting cargo border clearance are applied</w:t>
            </w:r>
          </w:p>
        </w:tc>
      </w:tr>
      <w:tr w:rsidTr="00F97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Post-entry amendments are made as required</w:t>
            </w:r>
          </w:p>
        </w:tc>
      </w:tr>
      <w:tr w:rsidTr="00F97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F15" w:rsidP="00CA7F15">
            <w:pPr>
              <w:pStyle w:val="BodyText"/>
            </w:pPr>
            <w:r w:rsidRPr="00CA7F1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rPr>
                <w:rStyle w:val="SpecialBold"/>
              </w:rPr>
              <w:t>Resolve problems arising from lodging import/export decl</w:t>
            </w:r>
            <w:r w:rsidRPr="00CA7F15">
              <w:rPr>
                <w:rStyle w:val="SpecialBold"/>
              </w:rPr>
              <w:t>arations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 xml:space="preserve">Actions and infringements subject to penalty provisions are verified </w:t>
            </w:r>
          </w:p>
        </w:tc>
      </w:tr>
      <w:tr w:rsidTr="00F97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Elements of an offence are outlined to customer</w:t>
            </w:r>
          </w:p>
        </w:tc>
      </w:tr>
      <w:tr w:rsidTr="00F97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Consequences of a strict liability offence are explained to customer</w:t>
            </w:r>
          </w:p>
        </w:tc>
      </w:tr>
      <w:tr w:rsidTr="00F97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 xml:space="preserve">Differentiation is made between a strict liability offence and a prosecution </w:t>
            </w:r>
          </w:p>
        </w:tc>
      </w:tr>
      <w:tr w:rsidTr="00F97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F15">
            <w:pPr>
              <w:pStyle w:val="BodyText"/>
              <w:rPr>
                <w:lang w:val="en-NZ"/>
              </w:rPr>
            </w:pPr>
            <w:r w:rsidRPr="00CA7F15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F15" w:rsidP="00CA7F15">
            <w:pPr>
              <w:pStyle w:val="BodyText"/>
            </w:pPr>
            <w:r w:rsidRPr="00CA7F15">
              <w:t>Options available when a penalty notice is threatened and/or received are outlined and implemented as required</w:t>
            </w:r>
          </w:p>
        </w:tc>
      </w:tr>
    </w:tbl>
    <w:p w:rsidR="00F979C0" w:rsidP="00CA7F15">
      <w:pPr>
        <w:pStyle w:val="BodyText"/>
      </w:pPr>
    </w:p>
    <w:p w:rsidR="00F979C0" w:rsidP="00CA7F15">
      <w:pPr>
        <w:pStyle w:val="BodyText"/>
      </w:pPr>
    </w:p>
    <w:p w:rsidR="00000000" w:rsidRPr="00CA7F15" w:rsidP="00CA7F15">
      <w:pPr>
        <w:pStyle w:val="Heading1"/>
      </w:pPr>
      <w:bookmarkStart w:id="7" w:name="O_838430"/>
      <w:bookmarkEnd w:id="7"/>
      <w:r w:rsidRPr="00CA7F15">
        <w:t>Foundation Skills</w:t>
      </w:r>
    </w:p>
    <w:p w:rsidR="00F979C0" w:rsidP="00F979C0">
      <w:pPr>
        <w:pStyle w:val="BodyText"/>
      </w:pPr>
      <w:r w:rsidRPr="00CA7F15">
        <w:t>Foundation skills essential to performance are explicit in the performance criteria of this unit of competency.</w:t>
      </w:r>
    </w:p>
    <w:p w:rsidR="00000000" w:rsidRPr="00CA7F15" w:rsidP="00CA7F15">
      <w:pPr>
        <w:pStyle w:val="Heading1"/>
      </w:pPr>
      <w:bookmarkStart w:id="8" w:name="O_838431"/>
      <w:bookmarkEnd w:id="8"/>
      <w:r w:rsidRPr="00CA7F15">
        <w:t>Range of Conditions</w:t>
      </w:r>
    </w:p>
    <w:p w:rsidR="00000000" w:rsidRPr="00CA7F15" w:rsidP="00F979C0">
      <w:pPr>
        <w:pStyle w:val="BodyText"/>
      </w:pPr>
      <w:r w:rsidRPr="00CA7F15">
        <w:t>Range is restricted to essential operating conditions and any other variables essential to the work enviro</w:t>
      </w:r>
      <w:r w:rsidRPr="00CA7F15">
        <w:t>nment.</w:t>
      </w:r>
    </w:p>
    <w:p w:rsidR="00F979C0" w:rsidP="00F979C0">
      <w:pPr>
        <w:pStyle w:val="BodyText"/>
      </w:pPr>
      <w:r w:rsidRPr="00CA7F15">
        <w:t>Non-essential conditions can be found in the Companion Volume Implementation Guide.</w:t>
      </w:r>
    </w:p>
    <w:p w:rsidR="00000000" w:rsidRPr="00CA7F15" w:rsidP="00CA7F15">
      <w:pPr>
        <w:pStyle w:val="Heading1"/>
      </w:pPr>
      <w:bookmarkStart w:id="9" w:name="O_838432"/>
      <w:bookmarkEnd w:id="9"/>
      <w:r w:rsidRPr="00CA7F15">
        <w:t>Unit Mapping Information</w:t>
      </w:r>
    </w:p>
    <w:p w:rsidR="00F979C0" w:rsidP="00F979C0">
      <w:pPr>
        <w:pStyle w:val="BodyText"/>
      </w:pPr>
      <w:r w:rsidRPr="00CA7F15">
        <w:t xml:space="preserve">This unit replaces but is </w:t>
      </w:r>
      <w:r w:rsidRPr="00CA7F15">
        <w:rPr>
          <w:rStyle w:val="SpecialBold"/>
        </w:rPr>
        <w:t xml:space="preserve">not </w:t>
      </w:r>
      <w:r w:rsidRPr="00CA7F15">
        <w:t>equivalent to TLIX5059A Undertake border clearance functions.</w:t>
      </w:r>
    </w:p>
    <w:p w:rsidR="00000000" w:rsidRPr="00CA7F15" w:rsidP="00CA7F15">
      <w:pPr>
        <w:pStyle w:val="Heading1"/>
      </w:pPr>
      <w:bookmarkStart w:id="10" w:name="O_838439"/>
      <w:bookmarkEnd w:id="10"/>
      <w:r w:rsidRPr="00CA7F15">
        <w:t>Links</w:t>
      </w:r>
    </w:p>
    <w:p w:rsidR="00000000" w:rsidRPr="00CA7F15" w:rsidP="00F979C0">
      <w:pPr>
        <w:pStyle w:val="BodyText"/>
      </w:pPr>
      <w:r w:rsidRPr="00CA7F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808A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A7F15" w:rsidP="00CA7F15"/>
    <w:sectPr w:rsidSect="00CA7F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F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F15" w:rsidRPr="00F979C0" w:rsidP="00F979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F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C0" w:rsidP="00CA7F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79C0" w:rsidP="00CA7F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979C0" w:rsidP="00CA7F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F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F15" w:rsidRPr="00F979C0" w:rsidP="00F979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F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C0" w:rsidRPr="002D2AF8" w:rsidP="00CA7F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TLIX0003 Conduct advanced border clearance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F979C0" w:rsidP="00CA7F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F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F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F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F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F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F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F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F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F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F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F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F15"/>
  </w:style>
  <w:style w:type="character" w:customStyle="1" w:styleId="Heading1Char">
    <w:name w:val="Heading 1 Char"/>
    <w:basedOn w:val="DefaultParagraphFont"/>
    <w:link w:val="Heading1"/>
    <w:rsid w:val="00CA7F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F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F1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7F15"/>
    <w:rPr>
      <w:b/>
      <w:spacing w:val="0"/>
    </w:rPr>
  </w:style>
  <w:style w:type="paragraph" w:customStyle="1" w:styleId="SuperHeading">
    <w:name w:val="SuperHeading"/>
    <w:basedOn w:val="Normal"/>
    <w:rsid w:val="00CA7F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F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7F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F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F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F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F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F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F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F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F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F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F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F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F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F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F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F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F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F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F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7F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7F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7F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F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F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7F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7F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F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F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F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F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F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F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F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F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F15"/>
    <w:rPr>
      <w:i/>
    </w:rPr>
  </w:style>
  <w:style w:type="paragraph" w:styleId="Caption">
    <w:name w:val="caption"/>
    <w:basedOn w:val="BodyText"/>
    <w:next w:val="Normal"/>
    <w:qFormat/>
    <w:rsid w:val="00CA7F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F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F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F15"/>
  </w:style>
  <w:style w:type="paragraph" w:styleId="TableofFigures">
    <w:name w:val="table of figures"/>
    <w:basedOn w:val="Normal"/>
    <w:next w:val="Normal"/>
    <w:semiHidden/>
    <w:rsid w:val="00CA7F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F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7F15"/>
    <w:rPr>
      <w:rFonts w:ascii="Wingdings" w:hAnsi="Wingdings"/>
    </w:rPr>
  </w:style>
  <w:style w:type="paragraph" w:customStyle="1" w:styleId="TableHeading">
    <w:name w:val="Table Heading"/>
    <w:basedOn w:val="HeadingBase"/>
    <w:rsid w:val="00CA7F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F15"/>
    <w:rPr>
      <w:color w:val="0033CC"/>
      <w:u w:val="none"/>
    </w:rPr>
  </w:style>
  <w:style w:type="paragraph" w:customStyle="1" w:styleId="BodyTextRight">
    <w:name w:val="Body Text Right"/>
    <w:basedOn w:val="BodyText"/>
    <w:rsid w:val="00CA7F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F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F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F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F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F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F15"/>
    <w:rPr>
      <w:sz w:val="32"/>
    </w:rPr>
  </w:style>
  <w:style w:type="paragraph" w:customStyle="1" w:styleId="HeadingProcedure">
    <w:name w:val="Heading Procedure"/>
    <w:basedOn w:val="HeadingBase"/>
    <w:next w:val="Normal"/>
    <w:rsid w:val="00CA7F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F15"/>
    <w:pPr>
      <w:spacing w:before="60" w:after="60"/>
    </w:pPr>
  </w:style>
  <w:style w:type="paragraph" w:styleId="ListContinue">
    <w:name w:val="List Continue"/>
    <w:basedOn w:val="List"/>
    <w:rsid w:val="00CA7F15"/>
    <w:pPr>
      <w:ind w:firstLine="0"/>
    </w:pPr>
  </w:style>
  <w:style w:type="paragraph" w:customStyle="1" w:styleId="ListNote">
    <w:name w:val="List Note"/>
    <w:basedOn w:val="List"/>
    <w:rsid w:val="00CA7F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F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F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F15"/>
    <w:rPr>
      <w:rFonts w:ascii="Courier New" w:hAnsi="Courier New"/>
    </w:rPr>
  </w:style>
  <w:style w:type="paragraph" w:customStyle="1" w:styleId="NoteBullet">
    <w:name w:val="Note Bullet"/>
    <w:basedOn w:val="Note"/>
    <w:rsid w:val="00CA7F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F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F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F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F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7F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F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F15"/>
    <w:rPr>
      <w:b/>
      <w:smallCaps/>
    </w:rPr>
  </w:style>
  <w:style w:type="paragraph" w:customStyle="1" w:styleId="TableListNumber">
    <w:name w:val="Table List Number"/>
    <w:basedOn w:val="ListNumber"/>
    <w:rsid w:val="00CA7F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F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F15"/>
    <w:pPr>
      <w:numPr>
        <w:numId w:val="7"/>
      </w:numPr>
    </w:pPr>
  </w:style>
  <w:style w:type="paragraph" w:customStyle="1" w:styleId="ListAlpha2">
    <w:name w:val="List Alpha 2"/>
    <w:basedOn w:val="List2"/>
    <w:rsid w:val="00CA7F15"/>
    <w:pPr>
      <w:numPr>
        <w:numId w:val="6"/>
      </w:numPr>
    </w:pPr>
  </w:style>
  <w:style w:type="paragraph" w:styleId="List2">
    <w:name w:val="List 2"/>
    <w:basedOn w:val="BodyText"/>
    <w:rsid w:val="00CA7F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F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F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F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F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F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7F15"/>
    <w:pPr>
      <w:numPr>
        <w:numId w:val="2"/>
      </w:numPr>
    </w:pPr>
  </w:style>
  <w:style w:type="paragraph" w:styleId="ListContinue2">
    <w:name w:val="List Continue 2"/>
    <w:basedOn w:val="List2"/>
    <w:rsid w:val="00CA7F15"/>
    <w:pPr>
      <w:ind w:firstLine="0"/>
    </w:pPr>
  </w:style>
  <w:style w:type="paragraph" w:styleId="ListContinue3">
    <w:name w:val="List Continue 3"/>
    <w:basedOn w:val="List3"/>
    <w:rsid w:val="00CA7F15"/>
    <w:pPr>
      <w:ind w:left="1021" w:firstLine="0"/>
    </w:pPr>
  </w:style>
  <w:style w:type="paragraph" w:styleId="ListContinue4">
    <w:name w:val="List Continue 4"/>
    <w:basedOn w:val="List4"/>
    <w:rsid w:val="00CA7F15"/>
    <w:pPr>
      <w:ind w:firstLine="0"/>
    </w:pPr>
  </w:style>
  <w:style w:type="paragraph" w:styleId="ListContinue5">
    <w:name w:val="List Continue 5"/>
    <w:basedOn w:val="List5"/>
    <w:rsid w:val="00CA7F15"/>
    <w:pPr>
      <w:ind w:firstLine="0"/>
    </w:pPr>
  </w:style>
  <w:style w:type="paragraph" w:styleId="ListNumber3">
    <w:name w:val="List Number 3"/>
    <w:basedOn w:val="List3"/>
    <w:rsid w:val="00CA7F15"/>
    <w:pPr>
      <w:numPr>
        <w:numId w:val="3"/>
      </w:numPr>
    </w:pPr>
  </w:style>
  <w:style w:type="paragraph" w:styleId="ListNumber4">
    <w:name w:val="List Number 4"/>
    <w:basedOn w:val="List4"/>
    <w:rsid w:val="00CA7F15"/>
    <w:pPr>
      <w:numPr>
        <w:numId w:val="4"/>
      </w:numPr>
    </w:pPr>
  </w:style>
  <w:style w:type="paragraph" w:styleId="ListNumber5">
    <w:name w:val="List Number 5"/>
    <w:basedOn w:val="List5"/>
    <w:rsid w:val="00CA7F15"/>
    <w:pPr>
      <w:numPr>
        <w:numId w:val="5"/>
      </w:numPr>
    </w:pPr>
  </w:style>
  <w:style w:type="paragraph" w:styleId="BlockText">
    <w:name w:val="Block Text"/>
    <w:basedOn w:val="Normal"/>
    <w:rsid w:val="00CA7F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F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F15"/>
    <w:rPr>
      <w:sz w:val="16"/>
      <w:vertAlign w:val="superscript"/>
    </w:rPr>
  </w:style>
  <w:style w:type="character" w:customStyle="1" w:styleId="Symbols">
    <w:name w:val="Symbols"/>
    <w:basedOn w:val="DefaultParagraphFont"/>
    <w:rsid w:val="00CA7F15"/>
    <w:rPr>
      <w:rFonts w:ascii="Symbol" w:hAnsi="Symbol"/>
    </w:rPr>
  </w:style>
  <w:style w:type="character" w:customStyle="1" w:styleId="MenuOptions">
    <w:name w:val="Menu Options"/>
    <w:basedOn w:val="DefaultParagraphFont"/>
    <w:rsid w:val="00CA7F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F15"/>
    <w:rPr>
      <w:b/>
    </w:rPr>
  </w:style>
  <w:style w:type="character" w:customStyle="1" w:styleId="Underlined">
    <w:name w:val="Underlined"/>
    <w:basedOn w:val="DefaultParagraphFont"/>
    <w:rsid w:val="00CA7F15"/>
    <w:rPr>
      <w:u w:val="single"/>
    </w:rPr>
  </w:style>
  <w:style w:type="paragraph" w:customStyle="1" w:styleId="TableBodyTextRight">
    <w:name w:val="Table Body Text Right"/>
    <w:basedOn w:val="TableBodyText"/>
    <w:rsid w:val="00CA7F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F15"/>
    <w:rPr>
      <w:sz w:val="18"/>
    </w:rPr>
  </w:style>
  <w:style w:type="paragraph" w:customStyle="1" w:styleId="BodySmallRight">
    <w:name w:val="Body Small Right"/>
    <w:basedOn w:val="BodyTextRight"/>
    <w:rsid w:val="00CA7F15"/>
    <w:rPr>
      <w:sz w:val="18"/>
      <w:szCs w:val="18"/>
    </w:rPr>
  </w:style>
  <w:style w:type="paragraph" w:customStyle="1" w:styleId="MarginEdition">
    <w:name w:val="Margin Edition"/>
    <w:basedOn w:val="MarginNote"/>
    <w:rsid w:val="00CA7F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F15"/>
    <w:rPr>
      <w:sz w:val="2"/>
      <w:szCs w:val="2"/>
    </w:rPr>
  </w:style>
  <w:style w:type="character" w:customStyle="1" w:styleId="Small">
    <w:name w:val="Small"/>
    <w:basedOn w:val="DefaultParagraphFont"/>
    <w:rsid w:val="00CA7F15"/>
    <w:rPr>
      <w:sz w:val="16"/>
    </w:rPr>
  </w:style>
  <w:style w:type="paragraph" w:customStyle="1" w:styleId="WideTable">
    <w:name w:val="Wide Table"/>
    <w:basedOn w:val="Normal"/>
    <w:rsid w:val="00CA7F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F15"/>
  </w:style>
  <w:style w:type="paragraph" w:styleId="Quote">
    <w:name w:val="Quote"/>
    <w:basedOn w:val="Heading1"/>
    <w:link w:val="QuoteChar"/>
    <w:qFormat/>
    <w:rsid w:val="00CA7F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F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F15"/>
    <w:pPr>
      <w:pageBreakBefore/>
    </w:pPr>
  </w:style>
  <w:style w:type="paragraph" w:customStyle="1" w:styleId="Border">
    <w:name w:val="Border"/>
    <w:basedOn w:val="Normal"/>
    <w:qFormat/>
    <w:rsid w:val="00CA7F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F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F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F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F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F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F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F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F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F15"/>
    <w:rPr>
      <w:u w:val="single"/>
    </w:rPr>
  </w:style>
  <w:style w:type="character" w:customStyle="1" w:styleId="BoldandItalics">
    <w:name w:val="Bold and Italics"/>
    <w:qFormat/>
    <w:rsid w:val="00CA7F15"/>
    <w:rPr>
      <w:b/>
      <w:i/>
      <w:u w:val="none"/>
    </w:rPr>
  </w:style>
  <w:style w:type="paragraph" w:styleId="BalloonText">
    <w:name w:val="Balloon Text"/>
    <w:basedOn w:val="Normal"/>
    <w:link w:val="BalloonTextChar"/>
    <w:rsid w:val="00CA7F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F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F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F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F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F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F15"/>
    <w:pPr>
      <w:spacing w:before="0" w:after="0"/>
    </w:pPr>
  </w:style>
  <w:style w:type="paragraph" w:customStyle="1" w:styleId="BodyTextBold">
    <w:name w:val="Body Text Bold"/>
    <w:basedOn w:val="BodyText"/>
    <w:qFormat/>
    <w:rsid w:val="00CA7F15"/>
    <w:rPr>
      <w:b/>
    </w:rPr>
  </w:style>
  <w:style w:type="character" w:styleId="Hyperlink">
    <w:name w:val="Hyperlink"/>
    <w:basedOn w:val="DefaultParagraphFont"/>
    <w:uiPriority w:val="99"/>
    <w:unhideWhenUsed/>
    <w:rsid w:val="00F979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3289</Characters>
  <Application>Microsoft Office Word</Application>
  <DocSecurity>0</DocSecurity>
  <Lines>149</Lines>
  <Paragraphs>86</Paragraphs>
  <ScaleCrop>false</ScaleCrop>
  <Company>Author-it Software Corporation Ltd.</Company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TLIX0003 Conduct advanced border clearance functions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2022-04-07T07:00:00Z</dcterms:created>
  <dcterms:modified xsi:type="dcterms:W3CDTF">2022-04-07T07:00:00Z</dcterms:modified>
</cp:coreProperties>
</file>