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0DB7" w:rsidP="008C0D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TLIX0001 Determine tariff classification of goods</w:t>
      </w:r>
      <w:r>
        <w:fldChar w:fldCharType="end"/>
      </w:r>
    </w:p>
    <w:p w:rsidR="008C0DB7" w:rsidP="008C0DB7">
      <w:pPr>
        <w:pStyle w:val="Version"/>
        <w:sectPr w:rsidSect="001F4A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4A63" w:rsidP="001F4A63">
      <w:pPr>
        <w:pStyle w:val="SuperHeading"/>
      </w:pPr>
      <w:r w:rsidRPr="001F4A63">
        <w:t>TLIX0001 Determine tariff classification of goods</w:t>
      </w:r>
    </w:p>
    <w:p w:rsidR="00000000" w:rsidRPr="001F4A63" w:rsidP="001F4A63">
      <w:pPr>
        <w:pStyle w:val="Heading1"/>
      </w:pPr>
      <w:bookmarkStart w:id="1" w:name="O_1067644"/>
      <w:bookmarkEnd w:id="1"/>
      <w:r w:rsidRPr="001F4A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 w:rsidP="001F4A63">
            <w:pPr>
              <w:pStyle w:val="BodyText"/>
            </w:pPr>
            <w:r w:rsidRPr="001F4A63">
              <w:rPr>
                <w:rStyle w:val="SpecialBold"/>
              </w:rPr>
              <w:t xml:space="preserve">Release 2. </w:t>
            </w:r>
            <w:r w:rsidRPr="001F4A63">
              <w:t xml:space="preserve">This is the second release of this unit of competency in the TLI Transport and Logistics Training Package: </w:t>
            </w:r>
          </w:p>
          <w:p w:rsidR="00000000" w:rsidRPr="001F4A63" w:rsidP="001F4A63">
            <w:pPr>
              <w:pStyle w:val="ListBullet"/>
            </w:pPr>
            <w:r w:rsidRPr="001F4A63">
              <w:t>Minor grammatical changes and reordering in Knowledge Evidence</w:t>
            </w:r>
          </w:p>
          <w:p w:rsidR="00000000" w:rsidP="001F4A63">
            <w:pPr>
              <w:pStyle w:val="ListBullet"/>
              <w:rPr>
                <w:lang w:val="en-NZ"/>
              </w:rPr>
            </w:pPr>
            <w:r w:rsidRPr="001F4A63">
              <w:t>Minor statement changes in Assessment Condi</w:t>
            </w:r>
            <w:r w:rsidRPr="001F4A63">
              <w:t>tions.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 w:rsidP="001F4A63">
            <w:pPr>
              <w:pStyle w:val="BodyText"/>
            </w:pPr>
            <w:r w:rsidRPr="001F4A63">
              <w:rPr>
                <w:rStyle w:val="SpecialBold"/>
              </w:rPr>
              <w:t xml:space="preserve">Release 1. </w:t>
            </w:r>
            <w:r w:rsidRPr="001F4A63">
              <w:t>This is the first release of this unit of competency in the TLI Transport and Logistics Training Package.</w:t>
            </w:r>
          </w:p>
        </w:tc>
      </w:tr>
    </w:tbl>
    <w:p w:rsidR="00000000" w:rsidRPr="001F4A63" w:rsidP="001F4A63">
      <w:pPr>
        <w:pStyle w:val="NoPaddingFontSize1"/>
      </w:pPr>
    </w:p>
    <w:p w:rsidR="00000000" w:rsidRPr="001F4A63" w:rsidP="001F4A63">
      <w:pPr>
        <w:pStyle w:val="AllowPageBreak"/>
      </w:pPr>
    </w:p>
    <w:p w:rsidR="00000000" w:rsidRPr="001F4A63" w:rsidP="001F4A63">
      <w:pPr>
        <w:pStyle w:val="Heading1"/>
      </w:pPr>
      <w:bookmarkStart w:id="2" w:name="O_1067643"/>
      <w:bookmarkEnd w:id="2"/>
      <w:r w:rsidRPr="001F4A6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 w:rsidP="001F4A63">
            <w:pPr>
              <w:pStyle w:val="BodyText"/>
            </w:pPr>
            <w:r w:rsidRPr="001F4A63">
              <w:t>This unit involves the skills and knowledge required to determine the customs tariff classificatio</w:t>
            </w:r>
            <w:r w:rsidRPr="001F4A63">
              <w:t>n of goods.</w:t>
            </w:r>
          </w:p>
          <w:p w:rsidR="00000000" w:rsidRPr="001F4A63" w:rsidP="001F4A63">
            <w:pPr>
              <w:pStyle w:val="BodyText"/>
            </w:pPr>
            <w:r w:rsidRPr="001F4A63">
              <w:t xml:space="preserve">This unit applies to individuals working as a customs broker. Work must be carried out in compliance with the current Australian Customs Tariff Act and related legislation, and workplace requirements concerning customs commodity classification </w:t>
            </w:r>
            <w:r w:rsidRPr="001F4A63">
              <w:t>functions.</w:t>
            </w:r>
          </w:p>
          <w:p w:rsidR="00000000" w:rsidRPr="001F4A63" w:rsidP="001F4A63">
            <w:pPr>
              <w:pStyle w:val="BodyText"/>
            </w:pPr>
            <w:r w:rsidRPr="001F4A63">
              <w:t>Work is undertaken in a range of environments, including small to large worksites, in the customs broking and international freight forwarding industries.</w:t>
            </w:r>
          </w:p>
          <w:p w:rsidR="00000000" w:rsidRPr="001F4A63" w:rsidP="001F4A63">
            <w:pPr>
              <w:pStyle w:val="BodyText"/>
            </w:pPr>
            <w:r w:rsidRPr="001F4A63">
              <w:t xml:space="preserve">No licensing, legislative or certification requirements apply to this unit at the time of </w:t>
            </w:r>
            <w:r w:rsidRPr="001F4A63">
              <w:t>publication.</w:t>
            </w:r>
          </w:p>
        </w:tc>
      </w:tr>
    </w:tbl>
    <w:p w:rsidR="00000000" w:rsidRPr="001F4A63" w:rsidP="001F4A63">
      <w:pPr>
        <w:pStyle w:val="NoPaddingFontSize1"/>
      </w:pPr>
    </w:p>
    <w:p w:rsidR="00000000" w:rsidRPr="001F4A63" w:rsidP="001F4A63">
      <w:pPr>
        <w:pStyle w:val="AllowPageBreak"/>
      </w:pPr>
    </w:p>
    <w:p w:rsidR="00000000" w:rsidRPr="001F4A63" w:rsidP="001F4A63">
      <w:pPr>
        <w:pStyle w:val="Heading1"/>
      </w:pPr>
      <w:bookmarkStart w:id="3" w:name="O_1067642"/>
      <w:bookmarkEnd w:id="3"/>
      <w:r w:rsidRPr="001F4A6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 w:rsidP="001F4A63">
            <w:pPr>
              <w:pStyle w:val="BodyText"/>
            </w:pPr>
            <w:r w:rsidRPr="001F4A63">
              <w:t>Not applicable.</w:t>
            </w:r>
          </w:p>
        </w:tc>
      </w:tr>
    </w:tbl>
    <w:p w:rsidR="00000000" w:rsidRPr="001F4A63" w:rsidP="001F4A63">
      <w:pPr>
        <w:pStyle w:val="NoPaddingFontSize1"/>
      </w:pPr>
    </w:p>
    <w:p w:rsidR="00000000" w:rsidRPr="001F4A63" w:rsidP="001F4A63">
      <w:pPr>
        <w:pStyle w:val="AllowPageBreak"/>
      </w:pPr>
    </w:p>
    <w:p w:rsidR="00000000" w:rsidRPr="001F4A63" w:rsidP="001F4A63">
      <w:pPr>
        <w:pStyle w:val="Heading1"/>
      </w:pPr>
      <w:bookmarkStart w:id="4" w:name="O_1067641"/>
      <w:bookmarkEnd w:id="4"/>
      <w:r w:rsidRPr="001F4A6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 w:rsidP="001F4A63">
            <w:pPr>
              <w:pStyle w:val="BodyText"/>
            </w:pPr>
            <w:r w:rsidRPr="001F4A63">
              <w:t>X – Logistics</w:t>
            </w:r>
          </w:p>
        </w:tc>
      </w:tr>
    </w:tbl>
    <w:p w:rsidR="00000000" w:rsidRPr="001F4A63" w:rsidP="001F4A63">
      <w:pPr>
        <w:pStyle w:val="NoPaddingFontSize1"/>
      </w:pPr>
    </w:p>
    <w:p w:rsidR="00000000" w:rsidRPr="001F4A63" w:rsidP="001F4A63">
      <w:pPr>
        <w:pStyle w:val="AllowPageBreak"/>
      </w:pPr>
    </w:p>
    <w:p w:rsidR="00000000" w:rsidRPr="001F4A63" w:rsidP="001F4A63">
      <w:pPr>
        <w:pStyle w:val="Heading1"/>
      </w:pPr>
      <w:bookmarkStart w:id="5" w:name="O_1067640"/>
      <w:bookmarkEnd w:id="5"/>
      <w:r w:rsidRPr="001F4A6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 w:rsidP="001F4A63">
            <w:pPr>
              <w:pStyle w:val="BodyText"/>
            </w:pPr>
            <w:r w:rsidRPr="001F4A63">
              <w:t>Not applicable.</w:t>
            </w:r>
          </w:p>
        </w:tc>
      </w:tr>
    </w:tbl>
    <w:p w:rsidR="00000000" w:rsidRPr="001F4A63" w:rsidP="001F4A63">
      <w:pPr>
        <w:pStyle w:val="NoPaddingFontSize1"/>
      </w:pPr>
    </w:p>
    <w:p w:rsidR="00000000" w:rsidRPr="001F4A63" w:rsidP="001F4A63">
      <w:pPr>
        <w:pStyle w:val="AllowPageBreak"/>
      </w:pPr>
    </w:p>
    <w:p w:rsidR="00000000" w:rsidRPr="001F4A63" w:rsidP="001F4A63">
      <w:pPr>
        <w:pStyle w:val="Heading1"/>
      </w:pPr>
      <w:bookmarkStart w:id="6" w:name="O_1067639"/>
      <w:bookmarkEnd w:id="6"/>
      <w:r w:rsidRPr="001F4A6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 w:rsidP="001F4A63">
            <w:pPr>
              <w:pStyle w:val="BodyText"/>
            </w:pPr>
            <w:r w:rsidRPr="001F4A6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PERFORMANCE CRITERIA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 xml:space="preserve">Elements describe the essential </w:t>
            </w:r>
            <w:r w:rsidRPr="001F4A63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 xml:space="preserve">Performance criteria describe the performance needed to </w:t>
            </w:r>
            <w:r w:rsidRPr="001F4A63">
              <w:t>demonstrate achievement of the element.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 w:rsidP="001F4A63">
            <w:pPr>
              <w:pStyle w:val="BodyText"/>
            </w:pPr>
            <w:r w:rsidRPr="001F4A6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 w:rsidP="001F4A63">
            <w:pPr>
              <w:pStyle w:val="BodyText"/>
            </w:pPr>
            <w:r w:rsidRPr="001F4A63">
              <w:rPr>
                <w:rStyle w:val="SpecialBold"/>
              </w:rPr>
              <w:t>Establish the framework for determining the tariff classification of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Role and purpose of the World Customs Organization (WCO) Harmonized Commodity Description and Coding System is explained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Structure and purpose of the Customs Tariff Act is reviewed and explained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Structure and content of Customs Tariff Act Schedules and their application are analysed and used to guide classification practices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 w:rsidP="001F4A63">
            <w:pPr>
              <w:pStyle w:val="BodyText"/>
            </w:pPr>
            <w:r w:rsidRPr="001F4A6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 w:rsidP="001F4A63">
            <w:pPr>
              <w:pStyle w:val="BodyText"/>
            </w:pPr>
            <w:r w:rsidRPr="001F4A63">
              <w:rPr>
                <w:rStyle w:val="SpecialBold"/>
              </w:rPr>
              <w:t>Prepare to determine tariff classification of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Resources and documentation required to classify goods are determ</w:t>
            </w:r>
            <w:r w:rsidRPr="001F4A63">
              <w:t>ined and obtained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Customs Tariff Act Schedule 2 is explained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Customs Tariff Act Schedule 3, and section and chapter notes are explained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Dash system for classifying goods is explained and applied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Interpretive rules (IRs) are examined in relation to their critical role in determining the correct headings and sub-headings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Effect of section and chapter notes on the use of headings in Schedule 3 is explained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 w:rsidP="001F4A63">
            <w:pPr>
              <w:pStyle w:val="BodyText"/>
            </w:pPr>
            <w:r w:rsidRPr="001F4A6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 w:rsidP="001F4A63">
            <w:pPr>
              <w:pStyle w:val="BodyText"/>
            </w:pPr>
            <w:r w:rsidRPr="001F4A63">
              <w:rPr>
                <w:rStyle w:val="SpecialBold"/>
              </w:rPr>
              <w:t>Apply identification principles to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Illustrative descriptive material (IDM) and other supporting information is obtained, as required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Goods are identified in accordance with classification principles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Alternative classifications are identified as required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Section and chapter notes are reviewed and applied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Existing tariff classification precedents that apply to goods are determined and are applied, as required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Principles of statutory</w:t>
            </w:r>
            <w:r w:rsidRPr="001F4A63">
              <w:t xml:space="preserve"> construction in the context of particular tariff headings and words are applied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 w:rsidP="001F4A63">
            <w:pPr>
              <w:pStyle w:val="BodyText"/>
            </w:pPr>
            <w:r w:rsidRPr="001F4A6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 w:rsidP="001F4A63">
            <w:pPr>
              <w:pStyle w:val="BodyText"/>
            </w:pPr>
            <w:r w:rsidRPr="001F4A63">
              <w:rPr>
                <w:rStyle w:val="SpecialBold"/>
              </w:rPr>
              <w:t>Select and justify headings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Headings are interpreted in hierarchical order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Comparison and rejection of headings are justified by reference to principles of statutory construction, the IRs and legal notes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Classification at heading level is determined in accordance with the IRs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 w:rsidP="001F4A63">
            <w:pPr>
              <w:pStyle w:val="BodyText"/>
            </w:pPr>
            <w:r w:rsidRPr="001F4A63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 w:rsidP="001F4A63">
            <w:pPr>
              <w:pStyle w:val="BodyText"/>
            </w:pPr>
            <w:r w:rsidRPr="001F4A63">
              <w:rPr>
                <w:rStyle w:val="SpecialBold"/>
              </w:rPr>
              <w:t>Locate and justify sub-headings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Sub-head</w:t>
            </w:r>
            <w:r w:rsidRPr="001F4A63">
              <w:t>ing notes are interpreted in accordance with the IRs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Client and other resources are consulted to obtain further details of characteristics of goods to be classified, as required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Preliminary classification of goods at both heading and sub-heading levels is made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Correct statistical code is identified and applied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 w:rsidP="001F4A63">
            <w:pPr>
              <w:pStyle w:val="BodyText"/>
            </w:pPr>
            <w:r w:rsidRPr="001F4A63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 w:rsidP="001F4A63">
            <w:pPr>
              <w:pStyle w:val="BodyText"/>
            </w:pPr>
            <w:r w:rsidRPr="001F4A63">
              <w:rPr>
                <w:rStyle w:val="SpecialBold"/>
              </w:rPr>
              <w:t>Complete post</w:t>
            </w:r>
            <w:r w:rsidRPr="001F4A63">
              <w:t>-</w:t>
            </w:r>
            <w:r w:rsidRPr="001F4A63">
              <w:rPr>
                <w:rStyle w:val="SpecialBold"/>
              </w:rPr>
              <w:t>classification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 xml:space="preserve">Preliminary classification is checked with manager, supervisor or </w:t>
            </w:r>
            <w:r w:rsidRPr="001F4A63">
              <w:t>more senior personnel prior to customs import declaration being lodged, as required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Completed documentation is retained by relevant personnel in accordance with customs requirements and related legislative requirements, and workplace procedures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t>Pre- or post-classification potential areas of dispute are anticipated and discussed and action to clarify decisions is taken in accordance with workplace procedures</w:t>
            </w:r>
          </w:p>
        </w:tc>
      </w:tr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A63">
            <w:pPr>
              <w:pStyle w:val="BodyText"/>
              <w:rPr>
                <w:lang w:val="en-NZ"/>
              </w:rPr>
            </w:pPr>
            <w:r w:rsidRPr="001F4A63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 w:rsidP="001F4A63">
            <w:pPr>
              <w:pStyle w:val="BodyText"/>
            </w:pPr>
            <w:r w:rsidRPr="001F4A63">
              <w:t>Tariff advice request is prepared, as required, in response to identified probl</w:t>
            </w:r>
            <w:r w:rsidRPr="001F4A63">
              <w:t>ems</w:t>
            </w:r>
          </w:p>
        </w:tc>
      </w:tr>
    </w:tbl>
    <w:p w:rsidR="00000000" w:rsidRPr="001F4A63" w:rsidP="001F4A63">
      <w:pPr>
        <w:pStyle w:val="NoPaddingFontSize1"/>
      </w:pPr>
    </w:p>
    <w:p w:rsidR="00000000" w:rsidRPr="001F4A63" w:rsidP="001F4A63">
      <w:pPr>
        <w:pStyle w:val="AllowPageBreak"/>
      </w:pPr>
    </w:p>
    <w:p w:rsidR="00000000" w:rsidRPr="001F4A63" w:rsidP="001F4A63">
      <w:pPr>
        <w:pStyle w:val="Heading1"/>
      </w:pPr>
      <w:bookmarkStart w:id="7" w:name="O_1067638"/>
      <w:bookmarkEnd w:id="7"/>
      <w:r w:rsidRPr="001F4A6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 w:rsidP="001F4A63">
            <w:pPr>
              <w:pStyle w:val="BodyText"/>
            </w:pPr>
            <w:r w:rsidRPr="001F4A63">
              <w:t>Foundation skills essential to performance are explicit in the performance criteria of this unit of competency.</w:t>
            </w:r>
          </w:p>
        </w:tc>
      </w:tr>
    </w:tbl>
    <w:p w:rsidR="00000000" w:rsidRPr="001F4A63" w:rsidP="001F4A63">
      <w:pPr>
        <w:pStyle w:val="NoPaddingFontSize1"/>
      </w:pPr>
    </w:p>
    <w:p w:rsidR="00000000" w:rsidRPr="001F4A63" w:rsidP="001F4A63">
      <w:pPr>
        <w:pStyle w:val="AllowPageBreak"/>
      </w:pPr>
    </w:p>
    <w:p w:rsidR="00000000" w:rsidRPr="001F4A63" w:rsidP="001F4A63">
      <w:pPr>
        <w:pStyle w:val="Heading1"/>
      </w:pPr>
      <w:bookmarkStart w:id="8" w:name="O_1067637"/>
      <w:bookmarkEnd w:id="8"/>
      <w:r w:rsidRPr="001F4A6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 w:rsidP="001F4A63">
            <w:pPr>
              <w:pStyle w:val="BodyText"/>
            </w:pPr>
            <w:r w:rsidRPr="001F4A63">
              <w:t>Range is restricted to essential operating conditions and any other variables essential to the work environment.</w:t>
            </w:r>
          </w:p>
        </w:tc>
      </w:tr>
    </w:tbl>
    <w:p w:rsidR="00000000" w:rsidRPr="001F4A63" w:rsidP="001F4A63">
      <w:pPr>
        <w:pStyle w:val="NoPaddingFontSize1"/>
      </w:pPr>
    </w:p>
    <w:p w:rsidR="00000000" w:rsidRPr="001F4A63" w:rsidP="001F4A63">
      <w:pPr>
        <w:pStyle w:val="AllowPageBreak"/>
      </w:pPr>
    </w:p>
    <w:p w:rsidR="00000000" w:rsidRPr="001F4A63" w:rsidP="001F4A63">
      <w:pPr>
        <w:pStyle w:val="Heading1"/>
      </w:pPr>
      <w:bookmarkStart w:id="9" w:name="O_1067636"/>
      <w:bookmarkEnd w:id="9"/>
      <w:r w:rsidRPr="001F4A6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4A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A63" w:rsidP="001F4A63">
            <w:pPr>
              <w:pStyle w:val="BodyText"/>
            </w:pPr>
            <w:r w:rsidRPr="001F4A63">
              <w:t>This unit replaces but is not equivalent to TLIX5051A Determine tariff classification of goods.</w:t>
            </w:r>
          </w:p>
        </w:tc>
      </w:tr>
    </w:tbl>
    <w:p w:rsidR="00000000" w:rsidRPr="001F4A63" w:rsidP="001F4A63">
      <w:pPr>
        <w:pStyle w:val="NoPaddingFontSize1"/>
      </w:pPr>
    </w:p>
    <w:p w:rsidR="00000000" w:rsidRPr="001F4A63" w:rsidP="001F4A63">
      <w:pPr>
        <w:pStyle w:val="AllowPageBreak"/>
      </w:pPr>
    </w:p>
    <w:p w:rsidR="00000000" w:rsidRPr="001F4A63" w:rsidP="001F4A63">
      <w:pPr>
        <w:pStyle w:val="Heading1"/>
      </w:pPr>
      <w:bookmarkStart w:id="10" w:name="O_1067645"/>
      <w:bookmarkEnd w:id="10"/>
      <w:r w:rsidRPr="001F4A63">
        <w:t>Links</w:t>
      </w:r>
    </w:p>
    <w:p w:rsidR="00000000" w:rsidRPr="001F4A63" w:rsidP="008C0DB7">
      <w:pPr>
        <w:pStyle w:val="BodyText"/>
      </w:pPr>
      <w:r w:rsidRPr="001F4A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149A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F4A63" w:rsidP="001F4A63"/>
    <w:sectPr w:rsidSect="001F4A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A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A63" w:rsidRPr="008C0DB7" w:rsidP="008C0D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A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DB7" w:rsidP="001F4A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0DB7" w:rsidP="001F4A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C0DB7" w:rsidP="001F4A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A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D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4A63" w:rsidRPr="008C0DB7" w:rsidP="008C0D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A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DB7" w:rsidRPr="002D2AF8" w:rsidP="001F4A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TLIX0001 Determine tariff classification of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April 2022</w:t>
    </w:r>
    <w:r>
      <w:fldChar w:fldCharType="end"/>
    </w:r>
  </w:p>
  <w:p w:rsidR="008C0DB7" w:rsidP="001F4A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8AE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2009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A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A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A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A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A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A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A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A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A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A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A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A63"/>
  </w:style>
  <w:style w:type="character" w:customStyle="1" w:styleId="Heading1Char">
    <w:name w:val="Heading 1 Char"/>
    <w:basedOn w:val="DefaultParagraphFont"/>
    <w:link w:val="Heading1"/>
    <w:rsid w:val="001F4A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A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A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4A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4A63"/>
    <w:rPr>
      <w:b/>
      <w:spacing w:val="0"/>
    </w:rPr>
  </w:style>
  <w:style w:type="paragraph" w:customStyle="1" w:styleId="SuperHeading">
    <w:name w:val="SuperHeading"/>
    <w:basedOn w:val="Normal"/>
    <w:rsid w:val="001F4A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4A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F4A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A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A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A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A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A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A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A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A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A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A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A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A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A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A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A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A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4A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4A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A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A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4A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4A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A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A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A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A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A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A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A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A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4A63"/>
    <w:rPr>
      <w:i/>
    </w:rPr>
  </w:style>
  <w:style w:type="paragraph" w:styleId="Caption">
    <w:name w:val="caption"/>
    <w:basedOn w:val="BodyText"/>
    <w:next w:val="Normal"/>
    <w:qFormat/>
    <w:rsid w:val="001F4A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A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A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A63"/>
  </w:style>
  <w:style w:type="paragraph" w:styleId="TableofFigures">
    <w:name w:val="table of figures"/>
    <w:basedOn w:val="Normal"/>
    <w:next w:val="Normal"/>
    <w:semiHidden/>
    <w:rsid w:val="001F4A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A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4A63"/>
    <w:rPr>
      <w:rFonts w:ascii="Wingdings" w:hAnsi="Wingdings"/>
    </w:rPr>
  </w:style>
  <w:style w:type="paragraph" w:customStyle="1" w:styleId="TableHeading">
    <w:name w:val="Table Heading"/>
    <w:basedOn w:val="HeadingBase"/>
    <w:rsid w:val="001F4A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A63"/>
    <w:rPr>
      <w:color w:val="0033CC"/>
      <w:u w:val="none"/>
    </w:rPr>
  </w:style>
  <w:style w:type="paragraph" w:customStyle="1" w:styleId="BodyTextRight">
    <w:name w:val="Body Text Right"/>
    <w:basedOn w:val="BodyText"/>
    <w:rsid w:val="001F4A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A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A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A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A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A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A63"/>
    <w:rPr>
      <w:sz w:val="32"/>
    </w:rPr>
  </w:style>
  <w:style w:type="paragraph" w:customStyle="1" w:styleId="HeadingProcedure">
    <w:name w:val="Heading Procedure"/>
    <w:basedOn w:val="HeadingBase"/>
    <w:next w:val="Normal"/>
    <w:rsid w:val="001F4A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A63"/>
    <w:pPr>
      <w:spacing w:before="60" w:after="60"/>
    </w:pPr>
  </w:style>
  <w:style w:type="paragraph" w:styleId="ListContinue">
    <w:name w:val="List Continue"/>
    <w:basedOn w:val="List"/>
    <w:rsid w:val="001F4A63"/>
    <w:pPr>
      <w:ind w:firstLine="0"/>
    </w:pPr>
  </w:style>
  <w:style w:type="paragraph" w:customStyle="1" w:styleId="ListNote">
    <w:name w:val="List Note"/>
    <w:basedOn w:val="List"/>
    <w:rsid w:val="001F4A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A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A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A63"/>
    <w:rPr>
      <w:rFonts w:ascii="Courier New" w:hAnsi="Courier New"/>
    </w:rPr>
  </w:style>
  <w:style w:type="paragraph" w:customStyle="1" w:styleId="NoteBullet">
    <w:name w:val="Note Bullet"/>
    <w:basedOn w:val="Note"/>
    <w:rsid w:val="001F4A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A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A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A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A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4A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A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A63"/>
    <w:rPr>
      <w:b/>
      <w:smallCaps/>
    </w:rPr>
  </w:style>
  <w:style w:type="paragraph" w:customStyle="1" w:styleId="TableListNumber">
    <w:name w:val="Table List Number"/>
    <w:basedOn w:val="ListNumber"/>
    <w:rsid w:val="001F4A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A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A63"/>
    <w:pPr>
      <w:numPr>
        <w:numId w:val="8"/>
      </w:numPr>
    </w:pPr>
  </w:style>
  <w:style w:type="paragraph" w:customStyle="1" w:styleId="ListAlpha2">
    <w:name w:val="List Alpha 2"/>
    <w:basedOn w:val="List2"/>
    <w:rsid w:val="001F4A63"/>
    <w:pPr>
      <w:numPr>
        <w:numId w:val="7"/>
      </w:numPr>
    </w:pPr>
  </w:style>
  <w:style w:type="paragraph" w:styleId="List2">
    <w:name w:val="List 2"/>
    <w:basedOn w:val="BodyText"/>
    <w:rsid w:val="001F4A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A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A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A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A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A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4A63"/>
    <w:pPr>
      <w:numPr>
        <w:numId w:val="3"/>
      </w:numPr>
    </w:pPr>
  </w:style>
  <w:style w:type="paragraph" w:styleId="ListContinue2">
    <w:name w:val="List Continue 2"/>
    <w:basedOn w:val="List2"/>
    <w:rsid w:val="001F4A63"/>
    <w:pPr>
      <w:ind w:firstLine="0"/>
    </w:pPr>
  </w:style>
  <w:style w:type="paragraph" w:styleId="ListContinue3">
    <w:name w:val="List Continue 3"/>
    <w:basedOn w:val="List3"/>
    <w:rsid w:val="001F4A63"/>
    <w:pPr>
      <w:ind w:left="1021" w:firstLine="0"/>
    </w:pPr>
  </w:style>
  <w:style w:type="paragraph" w:styleId="ListContinue4">
    <w:name w:val="List Continue 4"/>
    <w:basedOn w:val="List4"/>
    <w:rsid w:val="001F4A63"/>
    <w:pPr>
      <w:ind w:firstLine="0"/>
    </w:pPr>
  </w:style>
  <w:style w:type="paragraph" w:styleId="ListContinue5">
    <w:name w:val="List Continue 5"/>
    <w:basedOn w:val="List5"/>
    <w:rsid w:val="001F4A63"/>
    <w:pPr>
      <w:ind w:firstLine="0"/>
    </w:pPr>
  </w:style>
  <w:style w:type="paragraph" w:styleId="ListNumber3">
    <w:name w:val="List Number 3"/>
    <w:basedOn w:val="List3"/>
    <w:rsid w:val="001F4A63"/>
    <w:pPr>
      <w:numPr>
        <w:numId w:val="4"/>
      </w:numPr>
    </w:pPr>
  </w:style>
  <w:style w:type="paragraph" w:styleId="ListNumber4">
    <w:name w:val="List Number 4"/>
    <w:basedOn w:val="List4"/>
    <w:rsid w:val="001F4A63"/>
    <w:pPr>
      <w:numPr>
        <w:numId w:val="5"/>
      </w:numPr>
    </w:pPr>
  </w:style>
  <w:style w:type="paragraph" w:styleId="ListNumber5">
    <w:name w:val="List Number 5"/>
    <w:basedOn w:val="List5"/>
    <w:rsid w:val="001F4A63"/>
    <w:pPr>
      <w:numPr>
        <w:numId w:val="6"/>
      </w:numPr>
    </w:pPr>
  </w:style>
  <w:style w:type="paragraph" w:styleId="BlockText">
    <w:name w:val="Block Text"/>
    <w:basedOn w:val="Normal"/>
    <w:rsid w:val="001F4A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A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A63"/>
    <w:rPr>
      <w:sz w:val="16"/>
      <w:vertAlign w:val="superscript"/>
    </w:rPr>
  </w:style>
  <w:style w:type="character" w:customStyle="1" w:styleId="Symbols">
    <w:name w:val="Symbols"/>
    <w:basedOn w:val="DefaultParagraphFont"/>
    <w:rsid w:val="001F4A63"/>
    <w:rPr>
      <w:rFonts w:ascii="Symbol" w:hAnsi="Symbol"/>
    </w:rPr>
  </w:style>
  <w:style w:type="character" w:customStyle="1" w:styleId="MenuOptions">
    <w:name w:val="Menu Options"/>
    <w:basedOn w:val="DefaultParagraphFont"/>
    <w:rsid w:val="001F4A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A63"/>
    <w:rPr>
      <w:b/>
    </w:rPr>
  </w:style>
  <w:style w:type="character" w:customStyle="1" w:styleId="Underlined">
    <w:name w:val="Underlined"/>
    <w:basedOn w:val="DefaultParagraphFont"/>
    <w:rsid w:val="001F4A63"/>
    <w:rPr>
      <w:u w:val="single"/>
    </w:rPr>
  </w:style>
  <w:style w:type="paragraph" w:customStyle="1" w:styleId="TableBodyTextRight">
    <w:name w:val="Table Body Text Right"/>
    <w:basedOn w:val="TableBodyText"/>
    <w:rsid w:val="001F4A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A63"/>
    <w:rPr>
      <w:sz w:val="18"/>
    </w:rPr>
  </w:style>
  <w:style w:type="paragraph" w:customStyle="1" w:styleId="BodySmallRight">
    <w:name w:val="Body Small Right"/>
    <w:basedOn w:val="BodyTextRight"/>
    <w:rsid w:val="001F4A63"/>
    <w:rPr>
      <w:sz w:val="18"/>
      <w:szCs w:val="18"/>
    </w:rPr>
  </w:style>
  <w:style w:type="paragraph" w:customStyle="1" w:styleId="MarginEdition">
    <w:name w:val="Margin Edition"/>
    <w:basedOn w:val="MarginNote"/>
    <w:rsid w:val="001F4A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A63"/>
    <w:rPr>
      <w:sz w:val="2"/>
      <w:szCs w:val="2"/>
    </w:rPr>
  </w:style>
  <w:style w:type="character" w:customStyle="1" w:styleId="Small">
    <w:name w:val="Small"/>
    <w:basedOn w:val="DefaultParagraphFont"/>
    <w:rsid w:val="001F4A63"/>
    <w:rPr>
      <w:sz w:val="16"/>
    </w:rPr>
  </w:style>
  <w:style w:type="paragraph" w:customStyle="1" w:styleId="WideTable">
    <w:name w:val="Wide Table"/>
    <w:basedOn w:val="Normal"/>
    <w:rsid w:val="001F4A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A63"/>
  </w:style>
  <w:style w:type="paragraph" w:styleId="Quote">
    <w:name w:val="Quote"/>
    <w:basedOn w:val="Heading1"/>
    <w:link w:val="QuoteChar"/>
    <w:qFormat/>
    <w:rsid w:val="001F4A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A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A63"/>
    <w:pPr>
      <w:pageBreakBefore/>
    </w:pPr>
  </w:style>
  <w:style w:type="paragraph" w:customStyle="1" w:styleId="Border">
    <w:name w:val="Border"/>
    <w:basedOn w:val="Normal"/>
    <w:qFormat/>
    <w:rsid w:val="001F4A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A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A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A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A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A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A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A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A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A63"/>
    <w:rPr>
      <w:u w:val="single"/>
    </w:rPr>
  </w:style>
  <w:style w:type="character" w:customStyle="1" w:styleId="BoldandItalics">
    <w:name w:val="Bold and Italics"/>
    <w:qFormat/>
    <w:rsid w:val="001F4A63"/>
    <w:rPr>
      <w:b/>
      <w:i/>
      <w:u w:val="none"/>
    </w:rPr>
  </w:style>
  <w:style w:type="paragraph" w:styleId="BalloonText">
    <w:name w:val="Balloon Text"/>
    <w:basedOn w:val="Normal"/>
    <w:link w:val="BalloonTextChar"/>
    <w:rsid w:val="001F4A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A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A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A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A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A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4A63"/>
    <w:pPr>
      <w:spacing w:before="0" w:after="0"/>
    </w:pPr>
  </w:style>
  <w:style w:type="paragraph" w:customStyle="1" w:styleId="BodyTextBold">
    <w:name w:val="Body Text Bold"/>
    <w:basedOn w:val="BodyText"/>
    <w:qFormat/>
    <w:rsid w:val="001F4A63"/>
    <w:rPr>
      <w:b/>
    </w:rPr>
  </w:style>
  <w:style w:type="character" w:styleId="Hyperlink">
    <w:name w:val="Hyperlink"/>
    <w:basedOn w:val="DefaultParagraphFont"/>
    <w:uiPriority w:val="99"/>
    <w:unhideWhenUsed/>
    <w:rsid w:val="008C0D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4304</Characters>
  <Application>Microsoft Office Word</Application>
  <DocSecurity>0</DocSecurity>
  <Lines>226</Lines>
  <Paragraphs>116</Paragraphs>
  <ScaleCrop>false</ScaleCrop>
  <Company>Author-it Software Corporation Ltd.</Company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TLIX0001 Determine tariff classification of goods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2022-04-07T07:33:00Z</dcterms:created>
  <dcterms:modified xsi:type="dcterms:W3CDTF">2022-04-07T07:33:00Z</dcterms:modified>
</cp:coreProperties>
</file>