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0C92" w:rsidP="00D80C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TLIX0001 Determine tariff classification of goods</w:t>
      </w:r>
      <w:r>
        <w:fldChar w:fldCharType="end"/>
      </w:r>
    </w:p>
    <w:p w:rsidR="00D80C92" w:rsidP="00D80C92">
      <w:pPr>
        <w:pStyle w:val="Version"/>
        <w:sectPr w:rsidSect="002324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324FA" w:rsidP="002324FA">
      <w:pPr>
        <w:pStyle w:val="SuperHeading"/>
      </w:pPr>
      <w:r w:rsidRPr="002324FA">
        <w:t>TLIX0001 Determine tariff classification of goods</w:t>
      </w:r>
    </w:p>
    <w:p w:rsidR="00000000" w:rsidRPr="002324FA" w:rsidP="002324FA">
      <w:pPr>
        <w:pStyle w:val="Heading1"/>
      </w:pPr>
      <w:bookmarkStart w:id="1" w:name="O_1067644"/>
      <w:bookmarkEnd w:id="1"/>
      <w:r w:rsidRPr="002324F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 w:rsidP="002324FA">
            <w:pPr>
              <w:pStyle w:val="BodyText"/>
            </w:pPr>
            <w:r w:rsidRPr="002324FA">
              <w:rPr>
                <w:rStyle w:val="SpecialBold"/>
              </w:rPr>
              <w:t xml:space="preserve">Release 2. </w:t>
            </w:r>
            <w:r w:rsidRPr="002324FA">
              <w:t xml:space="preserve">This is the second release of this unit of competency in the TLI Transport and Logistics Training Package: </w:t>
            </w:r>
          </w:p>
          <w:p w:rsidR="00000000" w:rsidRPr="002324FA" w:rsidP="002324FA">
            <w:pPr>
              <w:pStyle w:val="ListBullet"/>
            </w:pPr>
            <w:r w:rsidRPr="002324FA">
              <w:t>Minor grammatical changes and reordering in Knowledge Evidence</w:t>
            </w:r>
          </w:p>
          <w:p w:rsidR="00000000" w:rsidP="002324FA">
            <w:pPr>
              <w:pStyle w:val="ListBullet"/>
              <w:rPr>
                <w:lang w:val="en-NZ"/>
              </w:rPr>
            </w:pPr>
            <w:r w:rsidRPr="002324FA">
              <w:t>Minor statement changes in Assessment Condi</w:t>
            </w:r>
            <w:r w:rsidRPr="002324FA">
              <w:t>tions.</w:t>
            </w:r>
          </w:p>
        </w:tc>
      </w:tr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 w:rsidP="002324FA">
            <w:pPr>
              <w:pStyle w:val="BodyText"/>
            </w:pPr>
            <w:r w:rsidRPr="002324FA">
              <w:rPr>
                <w:rStyle w:val="SpecialBold"/>
              </w:rPr>
              <w:t xml:space="preserve">Release 1. </w:t>
            </w:r>
            <w:r w:rsidRPr="002324FA">
              <w:t>This is the first release of this unit of competency in the TLI Transport and Logistics Training Package.</w:t>
            </w:r>
          </w:p>
        </w:tc>
      </w:tr>
    </w:tbl>
    <w:p w:rsidR="00000000" w:rsidRPr="002324FA" w:rsidP="002324FA">
      <w:pPr>
        <w:pStyle w:val="NoPaddingFontSize1"/>
      </w:pPr>
    </w:p>
    <w:p w:rsidR="00000000" w:rsidRPr="002324FA" w:rsidP="002324FA">
      <w:pPr>
        <w:pStyle w:val="AllowPageBreak"/>
      </w:pPr>
    </w:p>
    <w:p w:rsidR="00000000" w:rsidRPr="002324FA" w:rsidP="002324FA">
      <w:pPr>
        <w:pStyle w:val="Heading1"/>
      </w:pPr>
      <w:bookmarkStart w:id="2" w:name="O_1067643"/>
      <w:bookmarkEnd w:id="2"/>
      <w:r w:rsidRPr="002324F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 w:rsidP="002324FA">
            <w:pPr>
              <w:pStyle w:val="BodyText"/>
            </w:pPr>
            <w:r w:rsidRPr="002324FA">
              <w:t>This unit involves the skills and knowledge required to determine the customs tariff classificatio</w:t>
            </w:r>
            <w:r w:rsidRPr="002324FA">
              <w:t>n of goods.</w:t>
            </w:r>
          </w:p>
          <w:p w:rsidR="00000000" w:rsidRPr="002324FA" w:rsidP="002324FA">
            <w:pPr>
              <w:pStyle w:val="BodyText"/>
            </w:pPr>
            <w:r w:rsidRPr="002324FA">
              <w:t xml:space="preserve">This unit applies to individuals working as a customs broker. Work must be carried out in compliance with the current Australian Customs Tariff Act and related legislation, and workplace requirements concerning customs commodity classification </w:t>
            </w:r>
            <w:r w:rsidRPr="002324FA">
              <w:t>functions.</w:t>
            </w:r>
          </w:p>
          <w:p w:rsidR="00000000" w:rsidRPr="002324FA" w:rsidP="002324FA">
            <w:pPr>
              <w:pStyle w:val="BodyText"/>
            </w:pPr>
            <w:r w:rsidRPr="002324FA">
              <w:t>Work is undertaken in a range of environments, including small to large worksites, in the customs broking and international freight forwarding industries.</w:t>
            </w:r>
          </w:p>
          <w:p w:rsidR="00000000" w:rsidRPr="002324FA" w:rsidP="002324FA">
            <w:pPr>
              <w:pStyle w:val="BodyText"/>
            </w:pPr>
            <w:r w:rsidRPr="002324FA">
              <w:t>No licensing, legislative or certification requirements apply to this unit at the time of publication.</w:t>
            </w:r>
          </w:p>
        </w:tc>
      </w:tr>
    </w:tbl>
    <w:p w:rsidR="00000000" w:rsidRPr="002324FA" w:rsidP="002324FA">
      <w:pPr>
        <w:pStyle w:val="NoPaddingFontSize1"/>
      </w:pPr>
    </w:p>
    <w:p w:rsidR="00000000" w:rsidRPr="002324FA" w:rsidP="002324FA">
      <w:pPr>
        <w:pStyle w:val="AllowPageBreak"/>
      </w:pPr>
    </w:p>
    <w:p w:rsidR="00000000" w:rsidRPr="002324FA" w:rsidP="002324FA">
      <w:pPr>
        <w:pStyle w:val="Heading1"/>
      </w:pPr>
      <w:bookmarkStart w:id="3" w:name="O_1067642"/>
      <w:bookmarkEnd w:id="3"/>
      <w:r w:rsidRPr="002324F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 w:rsidP="002324FA">
            <w:pPr>
              <w:pStyle w:val="BodyText"/>
            </w:pPr>
            <w:r w:rsidRPr="002324FA">
              <w:t>Not applicable.</w:t>
            </w:r>
          </w:p>
        </w:tc>
      </w:tr>
    </w:tbl>
    <w:p w:rsidR="00000000" w:rsidRPr="002324FA" w:rsidP="002324FA">
      <w:pPr>
        <w:pStyle w:val="NoPaddingFontSize1"/>
      </w:pPr>
    </w:p>
    <w:p w:rsidR="00000000" w:rsidRPr="002324FA" w:rsidP="002324FA">
      <w:pPr>
        <w:pStyle w:val="AllowPageBreak"/>
      </w:pPr>
    </w:p>
    <w:p w:rsidR="00000000" w:rsidRPr="002324FA" w:rsidP="002324FA">
      <w:pPr>
        <w:pStyle w:val="Heading1"/>
      </w:pPr>
      <w:bookmarkStart w:id="4" w:name="O_1067641"/>
      <w:bookmarkEnd w:id="4"/>
      <w:r w:rsidRPr="002324F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 w:rsidP="002324FA">
            <w:pPr>
              <w:pStyle w:val="BodyText"/>
            </w:pPr>
            <w:r w:rsidRPr="002324FA">
              <w:t>X – Logistics</w:t>
            </w:r>
          </w:p>
        </w:tc>
      </w:tr>
    </w:tbl>
    <w:p w:rsidR="00000000" w:rsidRPr="002324FA" w:rsidP="002324FA">
      <w:pPr>
        <w:pStyle w:val="NoPaddingFontSize1"/>
      </w:pPr>
    </w:p>
    <w:p w:rsidR="00000000" w:rsidRPr="002324FA" w:rsidP="002324FA">
      <w:pPr>
        <w:pStyle w:val="AllowPageBreak"/>
      </w:pPr>
    </w:p>
    <w:p w:rsidR="00000000" w:rsidRPr="002324FA" w:rsidP="002324FA">
      <w:pPr>
        <w:pStyle w:val="Heading1"/>
      </w:pPr>
      <w:bookmarkStart w:id="5" w:name="O_1067640"/>
      <w:bookmarkEnd w:id="5"/>
      <w:r w:rsidRPr="002324F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 w:rsidP="002324FA">
            <w:pPr>
              <w:pStyle w:val="BodyText"/>
            </w:pPr>
            <w:r w:rsidRPr="002324FA">
              <w:t>Not applicab</w:t>
            </w:r>
            <w:r w:rsidRPr="002324FA">
              <w:t>le.</w:t>
            </w:r>
          </w:p>
        </w:tc>
      </w:tr>
    </w:tbl>
    <w:p w:rsidR="00000000" w:rsidRPr="002324FA" w:rsidP="002324FA">
      <w:pPr>
        <w:pStyle w:val="NoPaddingFontSize1"/>
      </w:pPr>
    </w:p>
    <w:p w:rsidR="00000000" w:rsidRPr="002324FA" w:rsidP="002324FA">
      <w:pPr>
        <w:pStyle w:val="AllowPageBreak"/>
      </w:pPr>
    </w:p>
    <w:p w:rsidR="00000000" w:rsidRPr="002324FA" w:rsidP="002324FA">
      <w:pPr>
        <w:pStyle w:val="Heading1"/>
      </w:pPr>
      <w:bookmarkStart w:id="6" w:name="O_1067639"/>
      <w:bookmarkEnd w:id="6"/>
      <w:r w:rsidRPr="002324F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 w:rsidP="002324FA">
            <w:pPr>
              <w:pStyle w:val="BodyText"/>
            </w:pPr>
            <w:r w:rsidRPr="002324F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rPr>
                <w:rStyle w:val="SpecialBold"/>
              </w:rPr>
              <w:t>PERFORMANCE CRITERIA</w:t>
            </w:r>
          </w:p>
        </w:tc>
      </w:tr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t xml:space="preserve">Elements describe the essential </w:t>
            </w:r>
            <w:r w:rsidRPr="002324FA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t xml:space="preserve">Performance criteria describe the performance needed to </w:t>
            </w:r>
            <w:r w:rsidRPr="002324FA">
              <w:t>demonstrate achievement of the element.</w:t>
            </w:r>
          </w:p>
        </w:tc>
      </w:tr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 w:rsidP="002324FA">
            <w:pPr>
              <w:pStyle w:val="BodyText"/>
            </w:pPr>
            <w:r w:rsidRPr="002324F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 w:rsidP="002324FA">
            <w:pPr>
              <w:pStyle w:val="BodyText"/>
            </w:pPr>
            <w:r w:rsidRPr="002324FA">
              <w:rPr>
                <w:rStyle w:val="SpecialBold"/>
              </w:rPr>
              <w:t>Establish the framework for determining the tariff classification of goods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t>Role and purpose of the World Customs Organization (WCO) Harmonized Commodity Description and Coding System is explained</w:t>
            </w:r>
          </w:p>
        </w:tc>
      </w:tr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t>Structure and purpose of the Customs Tariff Act is reviewed and explained</w:t>
            </w:r>
          </w:p>
        </w:tc>
      </w:tr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t>Structure and content of Customs Tariff Act Schedules and their application are analysed and used to guide classification practices</w:t>
            </w:r>
          </w:p>
        </w:tc>
      </w:tr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 w:rsidP="002324FA">
            <w:pPr>
              <w:pStyle w:val="BodyText"/>
            </w:pPr>
            <w:r w:rsidRPr="002324F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 w:rsidP="002324FA">
            <w:pPr>
              <w:pStyle w:val="BodyText"/>
            </w:pPr>
            <w:r w:rsidRPr="002324FA">
              <w:rPr>
                <w:rStyle w:val="SpecialBold"/>
              </w:rPr>
              <w:t>Prepare to determine tariff classificati</w:t>
            </w:r>
            <w:r w:rsidRPr="002324FA">
              <w:rPr>
                <w:rStyle w:val="SpecialBold"/>
              </w:rPr>
              <w:t>on of goods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t>Resources and documentation required to classify goods are determined and obtained</w:t>
            </w:r>
          </w:p>
        </w:tc>
      </w:tr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t>Customs Tariff Act Schedule 2 is explained</w:t>
            </w:r>
          </w:p>
        </w:tc>
      </w:tr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t>Customs Tariff Act Schedule 3, and section and chapter notes are explained</w:t>
            </w:r>
          </w:p>
        </w:tc>
      </w:tr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t>Das</w:t>
            </w:r>
            <w:r w:rsidRPr="002324FA">
              <w:t>h system for classifying goods is explained and applied</w:t>
            </w:r>
          </w:p>
        </w:tc>
      </w:tr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t>Interpretive rules (IRs) are examined in relation to their critical role in determining the correct headings and sub-headings</w:t>
            </w:r>
          </w:p>
        </w:tc>
      </w:tr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t>Effect of section and chapter notes on the use of headings i</w:t>
            </w:r>
            <w:r w:rsidRPr="002324FA">
              <w:t>n Schedule 3 is explained</w:t>
            </w:r>
          </w:p>
        </w:tc>
      </w:tr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 w:rsidP="002324FA">
            <w:pPr>
              <w:pStyle w:val="BodyText"/>
            </w:pPr>
            <w:r w:rsidRPr="002324F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 w:rsidP="002324FA">
            <w:pPr>
              <w:pStyle w:val="BodyText"/>
            </w:pPr>
            <w:r w:rsidRPr="002324FA">
              <w:rPr>
                <w:rStyle w:val="SpecialBold"/>
              </w:rPr>
              <w:t>Apply identification principles to goods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t>Illustrative descriptive material (IDM) and other supporting information is obtained, as required</w:t>
            </w:r>
          </w:p>
        </w:tc>
      </w:tr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t>Goods are identified in accordance with classification principles</w:t>
            </w:r>
          </w:p>
        </w:tc>
      </w:tr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t>Alternative classifications are identified as required</w:t>
            </w:r>
          </w:p>
        </w:tc>
      </w:tr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t>Section and chapter notes are reviewed and applied</w:t>
            </w:r>
          </w:p>
        </w:tc>
      </w:tr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t>Existing tariff classification precedents that apply to goods are determined and are applied, as required</w:t>
            </w:r>
          </w:p>
        </w:tc>
      </w:tr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t>Principles of statutory construction in the context of particular tariff headings and words are applied</w:t>
            </w:r>
          </w:p>
        </w:tc>
      </w:tr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 w:rsidP="002324FA">
            <w:pPr>
              <w:pStyle w:val="BodyText"/>
            </w:pPr>
            <w:r w:rsidRPr="002324FA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 w:rsidP="002324FA">
            <w:pPr>
              <w:pStyle w:val="BodyText"/>
            </w:pPr>
            <w:r w:rsidRPr="002324FA">
              <w:rPr>
                <w:rStyle w:val="SpecialBold"/>
              </w:rPr>
              <w:t>Select and justify headings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t>Headings are interpreted in hierarchical order</w:t>
            </w:r>
          </w:p>
        </w:tc>
      </w:tr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t>Comparison and rejection of headings are justified by reference</w:t>
            </w:r>
            <w:r w:rsidRPr="002324FA">
              <w:t xml:space="preserve"> to principles of statutory construction, the IRs and legal notes</w:t>
            </w:r>
          </w:p>
        </w:tc>
      </w:tr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t>Classification at heading level is determined in accordance with the IRs</w:t>
            </w:r>
          </w:p>
        </w:tc>
      </w:tr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 w:rsidP="002324FA">
            <w:pPr>
              <w:pStyle w:val="BodyText"/>
            </w:pPr>
            <w:r w:rsidRPr="002324FA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 w:rsidP="002324FA">
            <w:pPr>
              <w:pStyle w:val="BodyText"/>
            </w:pPr>
            <w:r w:rsidRPr="002324FA">
              <w:rPr>
                <w:rStyle w:val="SpecialBold"/>
              </w:rPr>
              <w:t>Locate and justify sub-headings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t>Sub-heading notes are interpreted in accordance with the IRs</w:t>
            </w:r>
          </w:p>
        </w:tc>
      </w:tr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t>Client and other resources are consulted to obtain further details of characteristics of goods to be classified, as required</w:t>
            </w:r>
          </w:p>
        </w:tc>
      </w:tr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t>Preliminary classification of goods at both heading and sub-heading levels is made</w:t>
            </w:r>
          </w:p>
        </w:tc>
      </w:tr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t>Correct statistical code is identi</w:t>
            </w:r>
            <w:r w:rsidRPr="002324FA">
              <w:t>fied and applied</w:t>
            </w:r>
          </w:p>
        </w:tc>
      </w:tr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 w:rsidP="002324FA">
            <w:pPr>
              <w:pStyle w:val="BodyText"/>
            </w:pPr>
            <w:r w:rsidRPr="002324FA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 w:rsidP="002324FA">
            <w:pPr>
              <w:pStyle w:val="BodyText"/>
            </w:pPr>
            <w:r w:rsidRPr="002324FA">
              <w:rPr>
                <w:rStyle w:val="SpecialBold"/>
              </w:rPr>
              <w:t>Complete post</w:t>
            </w:r>
            <w:r w:rsidRPr="002324FA">
              <w:t>-</w:t>
            </w:r>
            <w:r w:rsidRPr="002324FA">
              <w:rPr>
                <w:rStyle w:val="SpecialBold"/>
              </w:rPr>
              <w:t>classification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t>Preliminary classification is checked with manager, supervisor or more senior personnel prior to customs import declaration being lodged, as required</w:t>
            </w:r>
          </w:p>
        </w:tc>
      </w:tr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t xml:space="preserve">Completed documentation </w:t>
            </w:r>
            <w:r w:rsidRPr="002324FA">
              <w:t>is retained by relevant personnel in accordance with customs requirements and related legislative requirements, and workplace procedures</w:t>
            </w:r>
          </w:p>
        </w:tc>
      </w:tr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t>Pre- or post-classification potential areas of dispute are anticipated and discussed and action to clarify decis</w:t>
            </w:r>
            <w:r w:rsidRPr="002324FA">
              <w:t>ions is taken in accordance with workplace procedures</w:t>
            </w:r>
          </w:p>
        </w:tc>
      </w:tr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4FA">
            <w:pPr>
              <w:pStyle w:val="BodyText"/>
              <w:rPr>
                <w:lang w:val="en-NZ"/>
              </w:rPr>
            </w:pPr>
            <w:r w:rsidRPr="002324FA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 w:rsidP="002324FA">
            <w:pPr>
              <w:pStyle w:val="BodyText"/>
            </w:pPr>
            <w:r w:rsidRPr="002324FA">
              <w:t>Tariff advice request is prepared, as required, in response to identified problems</w:t>
            </w:r>
          </w:p>
        </w:tc>
      </w:tr>
    </w:tbl>
    <w:p w:rsidR="00000000" w:rsidRPr="002324FA" w:rsidP="002324FA">
      <w:pPr>
        <w:pStyle w:val="NoPaddingFontSize1"/>
      </w:pPr>
    </w:p>
    <w:p w:rsidR="00000000" w:rsidRPr="002324FA" w:rsidP="002324FA">
      <w:pPr>
        <w:pStyle w:val="AllowPageBreak"/>
      </w:pPr>
    </w:p>
    <w:p w:rsidR="00000000" w:rsidRPr="002324FA" w:rsidP="002324FA">
      <w:pPr>
        <w:pStyle w:val="Heading1"/>
      </w:pPr>
      <w:bookmarkStart w:id="7" w:name="O_1067638"/>
      <w:bookmarkEnd w:id="7"/>
      <w:r w:rsidRPr="002324F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 w:rsidP="002324FA">
            <w:pPr>
              <w:pStyle w:val="BodyText"/>
            </w:pPr>
            <w:r w:rsidRPr="002324FA">
              <w:t>Foundation skills essential to performance are explicit in the performanc</w:t>
            </w:r>
            <w:r w:rsidRPr="002324FA">
              <w:t>e criteria of this unit of competency.</w:t>
            </w:r>
          </w:p>
        </w:tc>
      </w:tr>
    </w:tbl>
    <w:p w:rsidR="00000000" w:rsidRPr="002324FA" w:rsidP="002324FA">
      <w:pPr>
        <w:pStyle w:val="NoPaddingFontSize1"/>
      </w:pPr>
    </w:p>
    <w:p w:rsidR="00000000" w:rsidRPr="002324FA" w:rsidP="002324FA">
      <w:pPr>
        <w:pStyle w:val="AllowPageBreak"/>
      </w:pPr>
    </w:p>
    <w:p w:rsidR="00000000" w:rsidRPr="002324FA" w:rsidP="002324FA">
      <w:pPr>
        <w:pStyle w:val="Heading1"/>
      </w:pPr>
      <w:bookmarkStart w:id="8" w:name="O_1067637"/>
      <w:bookmarkEnd w:id="8"/>
      <w:r w:rsidRPr="002324F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 w:rsidP="002324FA">
            <w:pPr>
              <w:pStyle w:val="BodyText"/>
            </w:pPr>
            <w:r w:rsidRPr="002324FA">
              <w:t>Range is restricted to essential operating conditions and any other variables essential to the work environment.</w:t>
            </w:r>
          </w:p>
        </w:tc>
      </w:tr>
    </w:tbl>
    <w:p w:rsidR="00000000" w:rsidRPr="002324FA" w:rsidP="002324FA">
      <w:pPr>
        <w:pStyle w:val="NoPaddingFontSize1"/>
      </w:pPr>
    </w:p>
    <w:p w:rsidR="00000000" w:rsidRPr="002324FA" w:rsidP="002324FA">
      <w:pPr>
        <w:pStyle w:val="AllowPageBreak"/>
      </w:pPr>
    </w:p>
    <w:p w:rsidR="00000000" w:rsidRPr="002324FA" w:rsidP="002324FA">
      <w:pPr>
        <w:pStyle w:val="Heading1"/>
      </w:pPr>
      <w:bookmarkStart w:id="9" w:name="O_1067636"/>
      <w:bookmarkEnd w:id="9"/>
      <w:r w:rsidRPr="002324F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 w:rsidP="002324FA">
            <w:pPr>
              <w:pStyle w:val="BodyText"/>
            </w:pPr>
            <w:r w:rsidRPr="002324FA">
              <w:t>This unit replaces but is not equivalent to TLIX5051A Determine tariff classification of goods.</w:t>
            </w:r>
          </w:p>
        </w:tc>
      </w:tr>
    </w:tbl>
    <w:p w:rsidR="00000000" w:rsidRPr="002324FA" w:rsidP="002324FA">
      <w:pPr>
        <w:pStyle w:val="NoPaddingFontSize1"/>
      </w:pPr>
    </w:p>
    <w:p w:rsidR="00000000" w:rsidRPr="002324FA" w:rsidP="002324FA">
      <w:pPr>
        <w:pStyle w:val="AllowPageBreak"/>
      </w:pPr>
    </w:p>
    <w:p w:rsidR="00000000" w:rsidRPr="002324FA" w:rsidP="002324FA">
      <w:pPr>
        <w:pStyle w:val="Heading1"/>
      </w:pPr>
      <w:bookmarkStart w:id="10" w:name="O_1067645"/>
      <w:bookmarkEnd w:id="10"/>
      <w:r w:rsidRPr="002324FA">
        <w:t>Links</w:t>
      </w:r>
    </w:p>
    <w:p w:rsidR="00000000" w:rsidRPr="002324FA" w:rsidP="00D80C92">
      <w:pPr>
        <w:pStyle w:val="BodyText"/>
      </w:pPr>
      <w:r w:rsidRPr="002324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84C6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324FA" w:rsidP="00D80C92">
      <w:pPr>
        <w:pStyle w:val="BodyText"/>
        <w:sectPr w:rsidSect="002324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24FA" w:rsidP="002324FA">
      <w:pPr>
        <w:pStyle w:val="SuperHeading"/>
      </w:pPr>
      <w:r w:rsidRPr="002324FA">
        <w:t>Assessment Requirements for TLIX0001 Determine tariff classification of goods</w:t>
      </w:r>
    </w:p>
    <w:p w:rsidR="00000000" w:rsidRPr="002324FA" w:rsidP="002324FA">
      <w:pPr>
        <w:pStyle w:val="Heading1"/>
      </w:pPr>
      <w:bookmarkStart w:id="11" w:name="O_1067634"/>
      <w:bookmarkEnd w:id="11"/>
      <w:r w:rsidRPr="002324F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 w:rsidP="002324FA">
            <w:pPr>
              <w:pStyle w:val="BodyText"/>
            </w:pPr>
            <w:r w:rsidRPr="002324FA">
              <w:rPr>
                <w:rStyle w:val="SpecialBold"/>
              </w:rPr>
              <w:t xml:space="preserve">Release 2. </w:t>
            </w:r>
            <w:r w:rsidRPr="002324FA">
              <w:t xml:space="preserve">This is the second release of this unit of competency in the TLI Transport and Logistics Training Package: </w:t>
            </w:r>
          </w:p>
          <w:p w:rsidR="00000000" w:rsidRPr="002324FA" w:rsidP="002324FA">
            <w:pPr>
              <w:pStyle w:val="ListBullet"/>
            </w:pPr>
            <w:r w:rsidRPr="002324FA">
              <w:t>Minor grammatical changes and reordering in Knowledge Evidence</w:t>
            </w:r>
          </w:p>
          <w:p w:rsidR="00000000" w:rsidP="002324FA">
            <w:pPr>
              <w:pStyle w:val="ListBullet"/>
              <w:rPr>
                <w:lang w:val="en-NZ"/>
              </w:rPr>
            </w:pPr>
            <w:r w:rsidRPr="002324FA">
              <w:t>Minor statement changes in Assessment Conditions.</w:t>
            </w:r>
          </w:p>
        </w:tc>
      </w:tr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 w:rsidP="002324FA">
            <w:pPr>
              <w:pStyle w:val="BodyText"/>
            </w:pPr>
            <w:r w:rsidRPr="002324FA">
              <w:rPr>
                <w:rStyle w:val="SpecialBold"/>
              </w:rPr>
              <w:t xml:space="preserve">Release 1. </w:t>
            </w:r>
            <w:r w:rsidRPr="002324FA">
              <w:t>This is the first release of this unit of competency in the TLI Transport and Logistics Training Package.</w:t>
            </w:r>
          </w:p>
        </w:tc>
      </w:tr>
    </w:tbl>
    <w:p w:rsidR="00000000" w:rsidRPr="002324FA" w:rsidP="002324FA">
      <w:pPr>
        <w:pStyle w:val="NoPaddingFontSize1"/>
      </w:pPr>
    </w:p>
    <w:p w:rsidR="00000000" w:rsidRPr="002324FA" w:rsidP="002324FA">
      <w:pPr>
        <w:pStyle w:val="AllowPageBreak"/>
      </w:pPr>
    </w:p>
    <w:p w:rsidR="00000000" w:rsidRPr="002324FA" w:rsidP="002324FA">
      <w:pPr>
        <w:pStyle w:val="Heading1"/>
      </w:pPr>
      <w:bookmarkStart w:id="12" w:name="O_1067633"/>
      <w:bookmarkEnd w:id="12"/>
      <w:r w:rsidRPr="002324F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 w:rsidP="002324FA">
            <w:pPr>
              <w:pStyle w:val="BodyText"/>
            </w:pPr>
            <w:r w:rsidRPr="002324FA">
              <w:t>Evidence required to demonstrate competence in this unit must be relevant to and satisfy all of the requirem</w:t>
            </w:r>
            <w:r w:rsidRPr="002324FA">
              <w:t>ents of the elements and performance criteria on at least one occasion and include:</w:t>
            </w:r>
          </w:p>
          <w:p w:rsidR="00000000" w:rsidRPr="002324FA" w:rsidP="002324FA">
            <w:pPr>
              <w:pStyle w:val="ListBullet"/>
            </w:pPr>
            <w:r w:rsidRPr="002324FA">
              <w:t>analysing information</w:t>
            </w:r>
          </w:p>
          <w:p w:rsidR="00000000" w:rsidRPr="002324FA" w:rsidP="002324FA">
            <w:pPr>
              <w:pStyle w:val="ListBullet"/>
            </w:pPr>
            <w:r w:rsidRPr="002324FA">
              <w:t>anticipating areas of potential dispute</w:t>
            </w:r>
          </w:p>
          <w:p w:rsidR="00000000" w:rsidRPr="002324FA" w:rsidP="002324FA">
            <w:pPr>
              <w:pStyle w:val="ListBullet"/>
            </w:pPr>
            <w:r w:rsidRPr="002324FA">
              <w:t>applying customs tariff classifications to a range of goods</w:t>
            </w:r>
          </w:p>
          <w:p w:rsidR="00000000" w:rsidRPr="002324FA" w:rsidP="002324FA">
            <w:pPr>
              <w:pStyle w:val="ListBullet"/>
            </w:pPr>
            <w:r w:rsidRPr="002324FA">
              <w:t>applying information to guide classification prac</w:t>
            </w:r>
            <w:r w:rsidRPr="002324FA">
              <w:t>tices</w:t>
            </w:r>
          </w:p>
          <w:p w:rsidR="00000000" w:rsidRPr="002324FA" w:rsidP="002324FA">
            <w:pPr>
              <w:pStyle w:val="ListBullet"/>
            </w:pPr>
            <w:r w:rsidRPr="002324FA">
              <w:t>consulting with clients</w:t>
            </w:r>
          </w:p>
          <w:p w:rsidR="00000000" w:rsidRPr="002324FA" w:rsidP="002324FA">
            <w:pPr>
              <w:pStyle w:val="ListBullet"/>
            </w:pPr>
            <w:r w:rsidRPr="002324FA">
              <w:t>examining and interpreting legal notes and understanding their application</w:t>
            </w:r>
          </w:p>
          <w:p w:rsidR="00000000" w:rsidRPr="002324FA" w:rsidP="002324FA">
            <w:pPr>
              <w:pStyle w:val="ListBullet"/>
            </w:pPr>
            <w:r w:rsidRPr="002324FA">
              <w:t>identifying sources of information</w:t>
            </w:r>
          </w:p>
          <w:p w:rsidR="00000000" w:rsidRPr="002324FA" w:rsidP="002324FA">
            <w:pPr>
              <w:pStyle w:val="ListBullet"/>
            </w:pPr>
            <w:r w:rsidRPr="002324FA">
              <w:t>interpreting information</w:t>
            </w:r>
          </w:p>
          <w:p w:rsidR="00000000" w:rsidRPr="002324FA" w:rsidP="002324FA">
            <w:pPr>
              <w:pStyle w:val="ListBullet"/>
            </w:pPr>
            <w:r w:rsidRPr="002324FA">
              <w:t>justifying decisions made</w:t>
            </w:r>
          </w:p>
          <w:p w:rsidR="00000000" w:rsidRPr="002324FA" w:rsidP="002324FA">
            <w:pPr>
              <w:pStyle w:val="ListBullet"/>
            </w:pPr>
            <w:r w:rsidRPr="002324FA">
              <w:t>making decisions.</w:t>
            </w:r>
          </w:p>
        </w:tc>
      </w:tr>
    </w:tbl>
    <w:p w:rsidR="00000000" w:rsidRPr="002324FA" w:rsidP="002324FA">
      <w:pPr>
        <w:pStyle w:val="NoPaddingFontSize1"/>
      </w:pPr>
    </w:p>
    <w:p w:rsidR="00000000" w:rsidRPr="002324FA" w:rsidP="002324FA">
      <w:pPr>
        <w:pStyle w:val="AllowPageBreak"/>
      </w:pPr>
    </w:p>
    <w:p w:rsidR="00000000" w:rsidRPr="002324FA" w:rsidP="002324FA">
      <w:pPr>
        <w:pStyle w:val="Heading1"/>
      </w:pPr>
      <w:bookmarkStart w:id="13" w:name="O_1067632"/>
      <w:bookmarkEnd w:id="13"/>
      <w:r w:rsidRPr="002324F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 w:rsidP="002324FA">
            <w:pPr>
              <w:pStyle w:val="BodyText"/>
            </w:pPr>
            <w:r w:rsidRPr="002324FA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2324FA" w:rsidP="002324FA">
            <w:pPr>
              <w:pStyle w:val="ListBullet"/>
            </w:pPr>
            <w:r w:rsidRPr="002324FA">
              <w:t>how to correctly determine the identification of commodities for tariff cla</w:t>
            </w:r>
            <w:r w:rsidRPr="002324FA">
              <w:t>ssification purposes</w:t>
            </w:r>
          </w:p>
          <w:p w:rsidR="00000000" w:rsidRPr="002324FA" w:rsidP="002324FA">
            <w:pPr>
              <w:pStyle w:val="ListBullet"/>
            </w:pPr>
            <w:r w:rsidRPr="002324FA">
              <w:t>use and application of:</w:t>
            </w:r>
          </w:p>
          <w:p w:rsidR="00000000" w:rsidRPr="002324FA" w:rsidP="002324FA">
            <w:pPr>
              <w:pStyle w:val="ListBullet2"/>
            </w:pPr>
            <w:r w:rsidRPr="002324FA">
              <w:t>Australian Working Tariff</w:t>
            </w:r>
          </w:p>
          <w:p w:rsidR="00000000" w:rsidRPr="002324FA" w:rsidP="002324FA">
            <w:pPr>
              <w:pStyle w:val="ListBullet2"/>
            </w:pPr>
            <w:r w:rsidRPr="002324FA">
              <w:t>customs policy and precedents</w:t>
            </w:r>
          </w:p>
          <w:p w:rsidR="00000000" w:rsidRPr="002324FA" w:rsidP="002324FA">
            <w:pPr>
              <w:pStyle w:val="ListBullet2"/>
            </w:pPr>
            <w:r w:rsidRPr="002324FA">
              <w:t>Harmonised System Explanatory Notes (HSEN)</w:t>
            </w:r>
          </w:p>
          <w:p w:rsidR="00000000" w:rsidRPr="002324FA" w:rsidP="002324FA">
            <w:pPr>
              <w:pStyle w:val="ListBullet2"/>
            </w:pPr>
            <w:r w:rsidRPr="002324FA">
              <w:t xml:space="preserve">Interpretive Rules (IRs) </w:t>
            </w:r>
          </w:p>
          <w:p w:rsidR="00000000" w:rsidRPr="002324FA" w:rsidP="002324FA">
            <w:pPr>
              <w:pStyle w:val="ListBullet2"/>
            </w:pPr>
            <w:r w:rsidRPr="002324FA">
              <w:t>relevant case law</w:t>
            </w:r>
          </w:p>
          <w:p w:rsidR="00000000" w:rsidRPr="002324FA" w:rsidP="002324FA">
            <w:pPr>
              <w:pStyle w:val="ListBullet2"/>
            </w:pPr>
            <w:r w:rsidRPr="002324FA">
              <w:t>use of legal notes, including section and chapter notes</w:t>
            </w:r>
          </w:p>
          <w:p w:rsidR="00000000" w:rsidRPr="002324FA" w:rsidP="002324FA">
            <w:pPr>
              <w:pStyle w:val="ListBullet"/>
            </w:pPr>
            <w:r w:rsidRPr="002324FA">
              <w:t>use and application of relevant legislation and regulations including:</w:t>
            </w:r>
          </w:p>
          <w:p w:rsidR="00000000" w:rsidRPr="002324FA" w:rsidP="002324FA">
            <w:pPr>
              <w:pStyle w:val="ListBullet2"/>
            </w:pPr>
            <w:r w:rsidRPr="002324FA">
              <w:t>Australian Harmonised Export Classification Book</w:t>
            </w:r>
          </w:p>
          <w:p w:rsidR="00000000" w:rsidRPr="002324FA" w:rsidP="002324FA">
            <w:pPr>
              <w:pStyle w:val="ListBullet2"/>
            </w:pPr>
            <w:r w:rsidRPr="002324FA">
              <w:t>Customs Tariff Act and its Schedules</w:t>
            </w:r>
          </w:p>
          <w:p w:rsidR="00000000" w:rsidRPr="002324FA" w:rsidP="002324FA">
            <w:pPr>
              <w:pStyle w:val="ListBullet2"/>
            </w:pPr>
            <w:r w:rsidRPr="002324FA">
              <w:t>other customs and related legislation</w:t>
            </w:r>
          </w:p>
          <w:p w:rsidR="00000000" w:rsidRPr="002324FA" w:rsidP="002324FA">
            <w:pPr>
              <w:pStyle w:val="ListBullet2"/>
            </w:pPr>
            <w:r w:rsidRPr="002324FA">
              <w:t>other legislation related to importing and exporting goods</w:t>
            </w:r>
          </w:p>
          <w:p w:rsidR="00000000" w:rsidRPr="002324FA" w:rsidP="002324FA">
            <w:pPr>
              <w:pStyle w:val="ListBullet2"/>
            </w:pPr>
            <w:r w:rsidRPr="002324FA">
              <w:t>W</w:t>
            </w:r>
            <w:r w:rsidRPr="002324FA">
              <w:t>orld Customs Organization (WCO) and Harmonized Commodity Description and Coding System for import and export activities.</w:t>
            </w:r>
          </w:p>
        </w:tc>
      </w:tr>
    </w:tbl>
    <w:p w:rsidR="00000000" w:rsidRPr="002324FA" w:rsidP="002324FA">
      <w:pPr>
        <w:pStyle w:val="NoPaddingFontSize1"/>
      </w:pPr>
    </w:p>
    <w:p w:rsidR="00000000" w:rsidRPr="002324FA" w:rsidP="002324FA">
      <w:pPr>
        <w:pStyle w:val="AllowPageBreak"/>
      </w:pPr>
    </w:p>
    <w:p w:rsidR="00000000" w:rsidRPr="002324FA" w:rsidP="002324FA">
      <w:pPr>
        <w:pStyle w:val="Heading1"/>
      </w:pPr>
      <w:bookmarkStart w:id="14" w:name="O_1067631"/>
      <w:bookmarkEnd w:id="14"/>
      <w:r w:rsidRPr="002324F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24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4FA" w:rsidP="002324FA">
            <w:pPr>
              <w:pStyle w:val="BodyText"/>
            </w:pPr>
            <w:r w:rsidRPr="002324FA">
              <w:t xml:space="preserve">Assessors must hold credentials specified within the Standards for Registered Training Organisations current at the time of assessment. </w:t>
            </w:r>
          </w:p>
          <w:p w:rsidR="00000000" w:rsidRPr="002324FA" w:rsidP="002324FA">
            <w:pPr>
              <w:pStyle w:val="BodyText"/>
            </w:pPr>
            <w:r w:rsidRPr="002324FA">
              <w:t>Assessment must satisfy the Principles of Assessment and Rules of Evidence and all regulatory requirements included wit</w:t>
            </w:r>
            <w:r w:rsidRPr="002324FA">
              <w:t>hin the Standards for Registered Training Organisations current at the time of assessment.</w:t>
            </w:r>
          </w:p>
          <w:p w:rsidR="00000000" w:rsidRPr="002324FA" w:rsidP="002324FA">
            <w:pPr>
              <w:pStyle w:val="BodyText"/>
            </w:pPr>
            <w:r w:rsidRPr="002324FA">
              <w:t>Assessment must occur in workplace operational situations where it is appropriate to do so; where this is not appropriate, assessment must occur in simulated workpla</w:t>
            </w:r>
            <w:r w:rsidRPr="002324FA">
              <w:t>ce operational situations that replicate workplace conditions.</w:t>
            </w:r>
          </w:p>
          <w:p w:rsidR="00000000" w:rsidRPr="002324FA" w:rsidP="002324FA">
            <w:pPr>
              <w:pStyle w:val="BodyText"/>
            </w:pPr>
            <w:r w:rsidRPr="002324F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324FA" w:rsidP="002324FA">
            <w:pPr>
              <w:pStyle w:val="BodyText"/>
            </w:pPr>
            <w:r w:rsidRPr="002324FA">
              <w:t xml:space="preserve">Resources for assessment </w:t>
            </w:r>
            <w:r w:rsidRPr="002324FA">
              <w:t>must include:</w:t>
            </w:r>
          </w:p>
          <w:p w:rsidR="00000000" w:rsidRPr="002324FA" w:rsidP="002324FA">
            <w:pPr>
              <w:pStyle w:val="ListBullet"/>
            </w:pPr>
            <w:r w:rsidRPr="002324FA">
              <w:t>a range of relevant exercises, case studies and/or simulations</w:t>
            </w:r>
          </w:p>
          <w:p w:rsidR="00000000" w:rsidRPr="002324FA" w:rsidP="002324FA">
            <w:pPr>
              <w:pStyle w:val="ListBullet"/>
            </w:pPr>
            <w:r w:rsidRPr="002324FA">
              <w:t>relevant materials, tools, equipment and personal protective equipment (PPE) currently used in industry</w:t>
            </w:r>
          </w:p>
          <w:p w:rsidR="00000000" w:rsidRPr="002324FA" w:rsidP="002324FA">
            <w:pPr>
              <w:pStyle w:val="ListBullet"/>
            </w:pPr>
            <w:r w:rsidRPr="002324FA">
              <w:t>applicable documentation i</w:t>
            </w:r>
            <w:r w:rsidRPr="002324FA">
              <w:t>ncluding workplace procedures, regulations, codes of practice and operation manuals.</w:t>
            </w:r>
          </w:p>
        </w:tc>
      </w:tr>
    </w:tbl>
    <w:p w:rsidR="00000000" w:rsidRPr="002324FA" w:rsidP="002324FA">
      <w:pPr>
        <w:pStyle w:val="NoPaddingFontSize1"/>
      </w:pPr>
    </w:p>
    <w:p w:rsidR="00000000" w:rsidRPr="002324FA" w:rsidP="002324FA">
      <w:pPr>
        <w:pStyle w:val="AllowPageBreak"/>
      </w:pPr>
    </w:p>
    <w:p w:rsidR="00000000" w:rsidRPr="002324FA" w:rsidP="002324FA">
      <w:pPr>
        <w:pStyle w:val="Heading1"/>
      </w:pPr>
      <w:bookmarkStart w:id="15" w:name="O_1067646"/>
      <w:bookmarkEnd w:id="15"/>
      <w:r w:rsidRPr="002324FA">
        <w:t>Links</w:t>
      </w:r>
    </w:p>
    <w:p w:rsidR="00000000" w:rsidRPr="002324FA" w:rsidP="00D80C92">
      <w:pPr>
        <w:pStyle w:val="BodyText"/>
      </w:pPr>
      <w:r w:rsidRPr="002324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84C6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324FA" w:rsidP="002324FA"/>
    <w:sectPr w:rsidSect="002324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4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4FA" w:rsidRPr="00D80C92" w:rsidP="00D80C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4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C92" w:rsidP="002324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80C92" w:rsidP="002324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80C92" w:rsidP="002324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4FA" w:rsidP="002324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0C92">
      <w:t>Approved</w:t>
    </w:r>
    <w:r w:rsidR="00D80C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0C9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0C92">
      <w:rPr>
        <w:noProof/>
      </w:rPr>
      <w:t>5</w:t>
    </w:r>
    <w:r>
      <w:rPr>
        <w:noProof/>
      </w:rPr>
      <w:fldChar w:fldCharType="end"/>
    </w:r>
  </w:p>
  <w:p w:rsidR="002324FA" w:rsidP="002324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0C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0C92">
      <w:t>Industry Skills Australia</w:t>
    </w:r>
    <w:r w:rsidR="00D80C92">
      <w:fldChar w:fldCharType="end"/>
    </w:r>
  </w:p>
  <w:p w:rsidR="002324FA" w:rsidP="002324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4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C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24FA" w:rsidRPr="00D80C92" w:rsidP="00D80C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4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C92" w:rsidRPr="002D2AF8" w:rsidP="002324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TLIX0001 Determine tariff classification of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80C92" w:rsidP="002324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4FA" w:rsidRPr="002D2AF8" w:rsidP="002324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0C92">
      <w:t>TLIX0001 Determine tariff classification of goods</w:t>
    </w:r>
    <w:r w:rsidR="00D80C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0C92">
      <w:rPr>
        <w:noProof/>
      </w:rPr>
      <w:t>2 March 2025</w:t>
    </w:r>
    <w:r>
      <w:fldChar w:fldCharType="end"/>
    </w:r>
  </w:p>
  <w:p w:rsidR="002324FA" w:rsidP="002324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A6CA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E6DA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48BF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4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24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24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24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24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24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24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24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24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24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24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24FA"/>
  </w:style>
  <w:style w:type="character" w:customStyle="1" w:styleId="Heading1Char">
    <w:name w:val="Heading 1 Char"/>
    <w:basedOn w:val="DefaultParagraphFont"/>
    <w:link w:val="Heading1"/>
    <w:rsid w:val="002324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24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24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24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24FA"/>
    <w:rPr>
      <w:b/>
      <w:spacing w:val="0"/>
    </w:rPr>
  </w:style>
  <w:style w:type="paragraph" w:styleId="ListBullet2">
    <w:name w:val="List Bullet 2"/>
    <w:basedOn w:val="List2"/>
    <w:rsid w:val="002324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24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24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324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24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24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24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24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24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24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24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24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24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24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24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24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24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24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24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24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24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24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24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24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24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24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24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24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24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24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24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24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24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24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24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24FA"/>
    <w:rPr>
      <w:i/>
    </w:rPr>
  </w:style>
  <w:style w:type="paragraph" w:styleId="Caption">
    <w:name w:val="caption"/>
    <w:basedOn w:val="BodyText"/>
    <w:next w:val="Normal"/>
    <w:qFormat/>
    <w:rsid w:val="002324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24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24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24FA"/>
  </w:style>
  <w:style w:type="paragraph" w:styleId="TableofFigures">
    <w:name w:val="table of figures"/>
    <w:basedOn w:val="Normal"/>
    <w:next w:val="Normal"/>
    <w:semiHidden/>
    <w:rsid w:val="002324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24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24FA"/>
    <w:rPr>
      <w:rFonts w:ascii="Wingdings" w:hAnsi="Wingdings"/>
    </w:rPr>
  </w:style>
  <w:style w:type="paragraph" w:customStyle="1" w:styleId="TableHeading">
    <w:name w:val="Table Heading"/>
    <w:basedOn w:val="HeadingBase"/>
    <w:rsid w:val="002324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24FA"/>
    <w:rPr>
      <w:color w:val="0033CC"/>
      <w:u w:val="none"/>
    </w:rPr>
  </w:style>
  <w:style w:type="paragraph" w:customStyle="1" w:styleId="BodyTextRight">
    <w:name w:val="Body Text Right"/>
    <w:basedOn w:val="BodyText"/>
    <w:rsid w:val="002324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24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24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24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24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24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24FA"/>
    <w:rPr>
      <w:sz w:val="32"/>
    </w:rPr>
  </w:style>
  <w:style w:type="paragraph" w:customStyle="1" w:styleId="HeadingProcedure">
    <w:name w:val="Heading Procedure"/>
    <w:basedOn w:val="HeadingBase"/>
    <w:next w:val="Normal"/>
    <w:rsid w:val="002324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24FA"/>
    <w:pPr>
      <w:spacing w:before="60" w:after="60"/>
    </w:pPr>
  </w:style>
  <w:style w:type="paragraph" w:styleId="ListContinue">
    <w:name w:val="List Continue"/>
    <w:basedOn w:val="List"/>
    <w:rsid w:val="002324FA"/>
    <w:pPr>
      <w:ind w:firstLine="0"/>
    </w:pPr>
  </w:style>
  <w:style w:type="paragraph" w:customStyle="1" w:styleId="ListNote">
    <w:name w:val="List Note"/>
    <w:basedOn w:val="List"/>
    <w:rsid w:val="002324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24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24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24FA"/>
    <w:rPr>
      <w:rFonts w:ascii="Courier New" w:hAnsi="Courier New"/>
    </w:rPr>
  </w:style>
  <w:style w:type="paragraph" w:customStyle="1" w:styleId="NoteBullet">
    <w:name w:val="Note Bullet"/>
    <w:basedOn w:val="Note"/>
    <w:rsid w:val="002324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24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24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24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24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24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24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24FA"/>
    <w:rPr>
      <w:b/>
      <w:smallCaps/>
    </w:rPr>
  </w:style>
  <w:style w:type="paragraph" w:customStyle="1" w:styleId="TableListNumber">
    <w:name w:val="Table List Number"/>
    <w:basedOn w:val="ListNumber"/>
    <w:rsid w:val="002324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24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24FA"/>
    <w:pPr>
      <w:numPr>
        <w:numId w:val="9"/>
      </w:numPr>
    </w:pPr>
  </w:style>
  <w:style w:type="paragraph" w:customStyle="1" w:styleId="ListAlpha2">
    <w:name w:val="List Alpha 2"/>
    <w:basedOn w:val="List2"/>
    <w:rsid w:val="002324FA"/>
    <w:pPr>
      <w:numPr>
        <w:numId w:val="8"/>
      </w:numPr>
    </w:pPr>
  </w:style>
  <w:style w:type="paragraph" w:styleId="List2">
    <w:name w:val="List 2"/>
    <w:basedOn w:val="BodyText"/>
    <w:rsid w:val="002324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24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24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24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24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24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24FA"/>
    <w:pPr>
      <w:numPr>
        <w:numId w:val="4"/>
      </w:numPr>
    </w:pPr>
  </w:style>
  <w:style w:type="paragraph" w:styleId="ListContinue2">
    <w:name w:val="List Continue 2"/>
    <w:basedOn w:val="List2"/>
    <w:rsid w:val="002324FA"/>
    <w:pPr>
      <w:ind w:firstLine="0"/>
    </w:pPr>
  </w:style>
  <w:style w:type="paragraph" w:styleId="ListContinue3">
    <w:name w:val="List Continue 3"/>
    <w:basedOn w:val="List3"/>
    <w:rsid w:val="002324FA"/>
    <w:pPr>
      <w:ind w:left="1021" w:firstLine="0"/>
    </w:pPr>
  </w:style>
  <w:style w:type="paragraph" w:styleId="ListContinue4">
    <w:name w:val="List Continue 4"/>
    <w:basedOn w:val="List4"/>
    <w:rsid w:val="002324FA"/>
    <w:pPr>
      <w:ind w:firstLine="0"/>
    </w:pPr>
  </w:style>
  <w:style w:type="paragraph" w:styleId="ListContinue5">
    <w:name w:val="List Continue 5"/>
    <w:basedOn w:val="List5"/>
    <w:rsid w:val="002324FA"/>
    <w:pPr>
      <w:ind w:firstLine="0"/>
    </w:pPr>
  </w:style>
  <w:style w:type="paragraph" w:styleId="ListNumber3">
    <w:name w:val="List Number 3"/>
    <w:basedOn w:val="List3"/>
    <w:rsid w:val="002324FA"/>
    <w:pPr>
      <w:numPr>
        <w:numId w:val="5"/>
      </w:numPr>
    </w:pPr>
  </w:style>
  <w:style w:type="paragraph" w:styleId="ListNumber4">
    <w:name w:val="List Number 4"/>
    <w:basedOn w:val="List4"/>
    <w:rsid w:val="002324FA"/>
    <w:pPr>
      <w:numPr>
        <w:numId w:val="6"/>
      </w:numPr>
    </w:pPr>
  </w:style>
  <w:style w:type="paragraph" w:styleId="ListNumber5">
    <w:name w:val="List Number 5"/>
    <w:basedOn w:val="List5"/>
    <w:rsid w:val="002324FA"/>
    <w:pPr>
      <w:numPr>
        <w:numId w:val="7"/>
      </w:numPr>
    </w:pPr>
  </w:style>
  <w:style w:type="paragraph" w:styleId="BlockText">
    <w:name w:val="Block Text"/>
    <w:basedOn w:val="Normal"/>
    <w:rsid w:val="002324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24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24FA"/>
    <w:rPr>
      <w:sz w:val="16"/>
      <w:vertAlign w:val="superscript"/>
    </w:rPr>
  </w:style>
  <w:style w:type="character" w:customStyle="1" w:styleId="Symbols">
    <w:name w:val="Symbols"/>
    <w:basedOn w:val="DefaultParagraphFont"/>
    <w:rsid w:val="002324FA"/>
    <w:rPr>
      <w:rFonts w:ascii="Symbol" w:hAnsi="Symbol"/>
    </w:rPr>
  </w:style>
  <w:style w:type="character" w:customStyle="1" w:styleId="MenuOptions">
    <w:name w:val="Menu Options"/>
    <w:basedOn w:val="DefaultParagraphFont"/>
    <w:rsid w:val="002324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24FA"/>
    <w:rPr>
      <w:b/>
    </w:rPr>
  </w:style>
  <w:style w:type="character" w:customStyle="1" w:styleId="Underlined">
    <w:name w:val="Underlined"/>
    <w:basedOn w:val="DefaultParagraphFont"/>
    <w:rsid w:val="002324FA"/>
    <w:rPr>
      <w:u w:val="single"/>
    </w:rPr>
  </w:style>
  <w:style w:type="paragraph" w:customStyle="1" w:styleId="TableBodyTextRight">
    <w:name w:val="Table Body Text Right"/>
    <w:basedOn w:val="TableBodyText"/>
    <w:rsid w:val="002324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24FA"/>
    <w:rPr>
      <w:sz w:val="18"/>
    </w:rPr>
  </w:style>
  <w:style w:type="paragraph" w:customStyle="1" w:styleId="BodySmallRight">
    <w:name w:val="Body Small Right"/>
    <w:basedOn w:val="BodyTextRight"/>
    <w:rsid w:val="002324FA"/>
    <w:rPr>
      <w:sz w:val="18"/>
      <w:szCs w:val="18"/>
    </w:rPr>
  </w:style>
  <w:style w:type="paragraph" w:customStyle="1" w:styleId="MarginEdition">
    <w:name w:val="Margin Edition"/>
    <w:basedOn w:val="MarginNote"/>
    <w:rsid w:val="002324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24FA"/>
    <w:rPr>
      <w:sz w:val="2"/>
      <w:szCs w:val="2"/>
    </w:rPr>
  </w:style>
  <w:style w:type="character" w:customStyle="1" w:styleId="Small">
    <w:name w:val="Small"/>
    <w:basedOn w:val="DefaultParagraphFont"/>
    <w:rsid w:val="002324FA"/>
    <w:rPr>
      <w:sz w:val="16"/>
    </w:rPr>
  </w:style>
  <w:style w:type="paragraph" w:customStyle="1" w:styleId="WideTable">
    <w:name w:val="Wide Table"/>
    <w:basedOn w:val="Normal"/>
    <w:rsid w:val="002324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24FA"/>
  </w:style>
  <w:style w:type="paragraph" w:styleId="Quote">
    <w:name w:val="Quote"/>
    <w:basedOn w:val="Heading1"/>
    <w:link w:val="QuoteChar"/>
    <w:qFormat/>
    <w:rsid w:val="002324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24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24FA"/>
    <w:pPr>
      <w:pageBreakBefore/>
    </w:pPr>
  </w:style>
  <w:style w:type="paragraph" w:customStyle="1" w:styleId="Border">
    <w:name w:val="Border"/>
    <w:basedOn w:val="Normal"/>
    <w:qFormat/>
    <w:rsid w:val="002324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24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4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4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24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24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24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24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24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24FA"/>
    <w:rPr>
      <w:u w:val="single"/>
    </w:rPr>
  </w:style>
  <w:style w:type="character" w:customStyle="1" w:styleId="BoldandItalics">
    <w:name w:val="Bold and Italics"/>
    <w:qFormat/>
    <w:rsid w:val="002324FA"/>
    <w:rPr>
      <w:b/>
      <w:i/>
      <w:u w:val="none"/>
    </w:rPr>
  </w:style>
  <w:style w:type="paragraph" w:styleId="BalloonText">
    <w:name w:val="Balloon Text"/>
    <w:basedOn w:val="Normal"/>
    <w:link w:val="BalloonTextChar"/>
    <w:rsid w:val="002324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24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24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24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24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24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24FA"/>
    <w:pPr>
      <w:spacing w:before="0" w:after="0"/>
    </w:pPr>
  </w:style>
  <w:style w:type="paragraph" w:customStyle="1" w:styleId="BodyTextBold">
    <w:name w:val="Body Text Bold"/>
    <w:basedOn w:val="BodyText"/>
    <w:qFormat/>
    <w:rsid w:val="002324FA"/>
    <w:rPr>
      <w:b/>
    </w:rPr>
  </w:style>
  <w:style w:type="character" w:styleId="Hyperlink">
    <w:name w:val="Hyperlink"/>
    <w:basedOn w:val="DefaultParagraphFont"/>
    <w:uiPriority w:val="99"/>
    <w:unhideWhenUsed/>
    <w:rsid w:val="00D80C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1136</Words>
  <Characters>7157</Characters>
  <Application>Microsoft Office Word</Application>
  <DocSecurity>0</DocSecurity>
  <Lines>298</Lines>
  <Paragraphs>169</Paragraphs>
  <ScaleCrop>false</ScaleCrop>
  <Company>Author-it Software Corporation Ltd.</Company>
  <LinksUpToDate>false</LinksUpToDate>
  <CharactersWithSpaces>8124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TLIX0001 Determine tariff classification of goods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2025-03-01T15:22:00Z</dcterms:created>
  <dcterms:modified xsi:type="dcterms:W3CDTF">2025-03-01T15:22:00Z</dcterms:modified>
</cp:coreProperties>
</file>