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CE8" w:rsidP="00714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TLIW5004 Manage train planning</w:t>
      </w:r>
      <w:r>
        <w:fldChar w:fldCharType="end"/>
      </w:r>
    </w:p>
    <w:p w:rsidR="00714CE8" w:rsidP="00714CE8">
      <w:pPr>
        <w:pStyle w:val="Version"/>
        <w:sectPr w:rsidSect="00F17D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D57" w:rsidP="00F17D57">
      <w:pPr>
        <w:pStyle w:val="SuperHeading"/>
      </w:pPr>
      <w:r w:rsidRPr="00F17D57">
        <w:t>TLIW5004 Manage train planning</w:t>
      </w:r>
    </w:p>
    <w:p w:rsidR="00000000" w:rsidRPr="00F17D57" w:rsidP="00F17D57">
      <w:pPr>
        <w:pStyle w:val="Heading1"/>
      </w:pPr>
      <w:bookmarkStart w:id="1" w:name="O_754411"/>
      <w:bookmarkEnd w:id="1"/>
      <w:r w:rsidRPr="00F17D57">
        <w:t>Modification History</w:t>
      </w:r>
    </w:p>
    <w:p w:rsidR="00714CE8" w:rsidP="00714CE8">
      <w:pPr>
        <w:pStyle w:val="BodyText"/>
      </w:pPr>
      <w:r w:rsidRPr="00F17D57">
        <w:t>Release 1. This is the first release of this unit of competency in the TLI Transport and Logistics Training Package.</w:t>
      </w:r>
    </w:p>
    <w:p w:rsidR="00000000" w:rsidRPr="00F17D57" w:rsidP="00F17D57">
      <w:pPr>
        <w:pStyle w:val="Heading1"/>
      </w:pPr>
      <w:bookmarkStart w:id="2" w:name="O_754412"/>
      <w:bookmarkEnd w:id="2"/>
      <w:r w:rsidRPr="00F17D5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BodyText"/>
            </w:pPr>
            <w:r w:rsidRPr="00F17D57">
              <w:t>This unit involves the skills and knowledge required to manage train planning, in accord</w:t>
            </w:r>
            <w:r w:rsidRPr="00F17D57">
              <w:t>ance with workplace procedures and regulatory requirements.</w:t>
            </w:r>
          </w:p>
          <w:p w:rsidR="00000000" w:rsidRPr="00F17D57" w:rsidP="00F17D57">
            <w:pPr>
              <w:pStyle w:val="BodyText"/>
            </w:pPr>
            <w:r w:rsidRPr="00F17D57">
              <w:t xml:space="preserve">It includes preparing to manage train planning, and developing and implementing strategies to optimise train planning. </w:t>
            </w:r>
          </w:p>
          <w:p w:rsidR="00000000" w:rsidRPr="00F17D57" w:rsidP="00F17D57">
            <w:pPr>
              <w:pStyle w:val="BodyText"/>
            </w:pPr>
            <w:r w:rsidRPr="00F17D57">
              <w:t>This unit provides an awareness of rail train planning and strategies for op</w:t>
            </w:r>
            <w:r w:rsidRPr="00F17D57">
              <w:t>timising performance. It can be applied to freight, heavy haul or metropolitan and regional passenger rail systems.</w:t>
            </w:r>
          </w:p>
          <w:p w:rsidR="00000000" w:rsidRPr="00F17D57" w:rsidP="00F17D57">
            <w:pPr>
              <w:pStyle w:val="BodyText"/>
            </w:pPr>
            <w:r w:rsidRPr="00F17D57">
              <w:t>In applying this unit, the following rail safety operating principles may  be involved:</w:t>
            </w:r>
          </w:p>
          <w:p w:rsidR="00000000" w:rsidRPr="00F17D57" w:rsidP="00F17D57">
            <w:pPr>
              <w:pStyle w:val="ListBullet2"/>
            </w:pPr>
            <w:r w:rsidRPr="00F17D57">
              <w:t>ensuring emergencies and incidents are properly man</w:t>
            </w:r>
            <w:r w:rsidRPr="00F17D57">
              <w:t>aged</w:t>
            </w:r>
          </w:p>
          <w:p w:rsidR="00000000" w:rsidRPr="00F17D57" w:rsidP="00F17D57">
            <w:pPr>
              <w:pStyle w:val="ListBullet2"/>
            </w:pPr>
            <w:r w:rsidRPr="00F17D57">
              <w:t>ensuring interfaces between different organisations are properly defined and managed</w:t>
            </w:r>
          </w:p>
          <w:p w:rsidR="00000000" w:rsidRPr="00F17D57" w:rsidP="00F17D57">
            <w:pPr>
              <w:pStyle w:val="ListBullet2"/>
            </w:pPr>
            <w:r w:rsidRPr="00F17D57">
              <w:t>identifying and managing risk</w:t>
            </w:r>
          </w:p>
          <w:p w:rsidR="00000000" w:rsidRPr="00F17D57" w:rsidP="00F17D57">
            <w:pPr>
              <w:pStyle w:val="ListBullet2"/>
            </w:pPr>
            <w:r w:rsidRPr="00F17D57">
              <w:t>protecting persons from injury</w:t>
            </w:r>
          </w:p>
          <w:p w:rsidR="00000000" w:rsidRPr="00F17D57" w:rsidP="00F17D57">
            <w:pPr>
              <w:pStyle w:val="ListBullet2"/>
            </w:pPr>
            <w:r w:rsidRPr="00F17D57">
              <w:t>protecting property from damage</w:t>
            </w:r>
          </w:p>
          <w:p w:rsidR="00000000" w:rsidRPr="00F17D57" w:rsidP="00F17D57">
            <w:pPr>
              <w:pStyle w:val="ListBullet2"/>
            </w:pPr>
            <w:r w:rsidRPr="00F17D57">
              <w:t>track access</w:t>
            </w:r>
          </w:p>
          <w:p w:rsidR="00000000" w:rsidRPr="00F17D57" w:rsidP="00F17D57">
            <w:pPr>
              <w:pStyle w:val="ListBullet2"/>
            </w:pPr>
            <w:r w:rsidRPr="00F17D57">
              <w:t>train separation.</w:t>
            </w:r>
          </w:p>
          <w:p w:rsidR="00000000" w:rsidRPr="00F17D57" w:rsidP="00F17D57">
            <w:pPr>
              <w:pStyle w:val="BodyText"/>
            </w:pPr>
            <w:r w:rsidRPr="00F17D57">
              <w:t>No licensing, legislative or certification</w:t>
            </w:r>
            <w:r w:rsidRPr="00F17D57">
              <w:t xml:space="preserve"> requirements apply to this unit at the time of publication.</w:t>
            </w:r>
          </w:p>
        </w:tc>
      </w:tr>
    </w:tbl>
    <w:p w:rsidR="00714CE8" w:rsidP="00F17D57">
      <w:pPr>
        <w:pStyle w:val="BodyText"/>
      </w:pPr>
    </w:p>
    <w:p w:rsidR="00714CE8" w:rsidP="00F17D57">
      <w:pPr>
        <w:pStyle w:val="BodyText"/>
      </w:pPr>
    </w:p>
    <w:p w:rsidR="00000000" w:rsidRPr="00F17D57" w:rsidP="00F17D57">
      <w:pPr>
        <w:pStyle w:val="Heading1"/>
      </w:pPr>
      <w:bookmarkStart w:id="3" w:name="O_754413"/>
      <w:bookmarkEnd w:id="3"/>
      <w:r w:rsidRPr="00F17D57">
        <w:t>Pre-requisite Unit</w:t>
      </w:r>
    </w:p>
    <w:p w:rsidR="00714CE8" w:rsidP="00714CE8">
      <w:pPr>
        <w:pStyle w:val="BodyText"/>
      </w:pPr>
      <w:r w:rsidRPr="00F17D57">
        <w:t>Not applicable.</w:t>
      </w:r>
    </w:p>
    <w:p w:rsidR="00000000" w:rsidRPr="00F17D57" w:rsidP="00F17D57">
      <w:pPr>
        <w:pStyle w:val="Heading1"/>
      </w:pPr>
      <w:bookmarkStart w:id="4" w:name="O_754414"/>
      <w:bookmarkEnd w:id="4"/>
      <w:r w:rsidRPr="00F17D57">
        <w:t>Competency Field</w:t>
      </w:r>
    </w:p>
    <w:p w:rsidR="00714CE8" w:rsidP="00714CE8">
      <w:pPr>
        <w:pStyle w:val="BodyText"/>
      </w:pPr>
      <w:r w:rsidRPr="00F17D57">
        <w:t>W – Equipment and Systems Operations</w:t>
      </w:r>
    </w:p>
    <w:p w:rsidR="00000000" w:rsidRPr="00F17D57" w:rsidP="00F17D57">
      <w:pPr>
        <w:pStyle w:val="Heading1"/>
      </w:pPr>
      <w:bookmarkStart w:id="5" w:name="O_754415"/>
      <w:bookmarkEnd w:id="5"/>
      <w:r w:rsidRPr="00F17D57">
        <w:t>Unit Sector</w:t>
      </w:r>
    </w:p>
    <w:p w:rsidR="00714CE8" w:rsidP="00714CE8">
      <w:pPr>
        <w:pStyle w:val="BodyText"/>
      </w:pPr>
      <w:r w:rsidRPr="00F17D57">
        <w:t>Not applicable.</w:t>
      </w:r>
    </w:p>
    <w:p w:rsidR="00000000" w:rsidRPr="00F17D57" w:rsidP="00F17D57">
      <w:pPr>
        <w:pStyle w:val="Heading1"/>
      </w:pPr>
      <w:bookmarkStart w:id="6" w:name="O_754416"/>
      <w:bookmarkEnd w:id="6"/>
      <w:r w:rsidRPr="00F17D5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0"/>
        <w:gridCol w:w="1756"/>
        <w:gridCol w:w="549"/>
        <w:gridCol w:w="6561"/>
      </w:tblGrid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Performance criteria describe the performance needed to demonstrate achievement of the element.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BodyText"/>
            </w:pPr>
            <w:r w:rsidRPr="00F17D5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rPr>
                <w:rStyle w:val="SpecialBold"/>
              </w:rPr>
              <w:t>Prepare to manage train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Goals of train planning are identified and explained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Principal factors involved in train planning are identified and outlined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Resources required for train planning are identified, explained and obtained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Methods by which train planning performance can be measured are identified and implemented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BodyText"/>
            </w:pPr>
            <w:r w:rsidRPr="00F17D5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rPr>
                <w:rStyle w:val="SpecialBold"/>
              </w:rPr>
              <w:t>Develop and implement strategies to optimise train planning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Factors that contribute to optimal train planning are identified and explained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Strategies for ensuring optimal train planning is maintained are developed and implemented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Methods by which optimal train planning performance can be measured are developed and applied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BodyText"/>
            </w:pPr>
            <w:r w:rsidRPr="00F17D57">
              <w:t>Strategies are communicated to relevant personnel</w:t>
            </w:r>
          </w:p>
        </w:tc>
      </w:tr>
    </w:tbl>
    <w:p w:rsidR="00714CE8" w:rsidP="00F17D57">
      <w:pPr>
        <w:pStyle w:val="BodyText"/>
      </w:pPr>
    </w:p>
    <w:p w:rsidR="00714CE8" w:rsidP="00F17D57">
      <w:pPr>
        <w:pStyle w:val="BodyText"/>
      </w:pPr>
    </w:p>
    <w:p w:rsidR="00000000" w:rsidRPr="00F17D57" w:rsidP="00F17D57">
      <w:pPr>
        <w:pStyle w:val="Heading1"/>
      </w:pPr>
      <w:bookmarkStart w:id="7" w:name="O_754417"/>
      <w:bookmarkEnd w:id="7"/>
      <w:r w:rsidRPr="00F17D57">
        <w:t>Foundation Skills</w:t>
      </w:r>
    </w:p>
    <w:p w:rsidR="00714CE8" w:rsidP="00714CE8">
      <w:pPr>
        <w:pStyle w:val="BodyText"/>
      </w:pPr>
      <w:r w:rsidRPr="00F17D57">
        <w:t>Foundation skills essential to performance are explicit in the performance criteria of this unit of competency.</w:t>
      </w:r>
    </w:p>
    <w:p w:rsidR="00000000" w:rsidRPr="00F17D57" w:rsidP="00F17D57">
      <w:pPr>
        <w:pStyle w:val="Heading1"/>
      </w:pPr>
      <w:bookmarkStart w:id="8" w:name="O_754418"/>
      <w:bookmarkEnd w:id="8"/>
      <w:r w:rsidRPr="00F17D57">
        <w:t>Range of Conditions</w:t>
      </w:r>
    </w:p>
    <w:p w:rsidR="00000000" w:rsidRPr="00F17D57" w:rsidP="00714CE8">
      <w:pPr>
        <w:pStyle w:val="BodyText"/>
      </w:pPr>
      <w:r w:rsidRPr="00F17D57">
        <w:t>Range is restricted to essential operating conditions and any other vari</w:t>
      </w:r>
      <w:r w:rsidRPr="00F17D57">
        <w:t>ables essential to the work environment.</w:t>
      </w:r>
    </w:p>
    <w:p w:rsidR="00714CE8" w:rsidP="00714CE8">
      <w:pPr>
        <w:pStyle w:val="BodyText"/>
      </w:pPr>
      <w:r w:rsidRPr="00F17D57">
        <w:t>Non-essential conditions can be found in the Companion Volume Implementation Guide.</w:t>
      </w:r>
    </w:p>
    <w:p w:rsidR="00000000" w:rsidRPr="00F17D57" w:rsidP="00F17D57">
      <w:pPr>
        <w:pStyle w:val="Heading1"/>
      </w:pPr>
      <w:bookmarkStart w:id="9" w:name="O_754419"/>
      <w:bookmarkEnd w:id="9"/>
      <w:r w:rsidRPr="00F17D57">
        <w:t>Unit Mapping Information</w:t>
      </w:r>
    </w:p>
    <w:p w:rsidR="00714CE8" w:rsidP="00714CE8">
      <w:pPr>
        <w:pStyle w:val="BodyText"/>
      </w:pPr>
      <w:r w:rsidRPr="00F17D57">
        <w:t>This unit replaces and is equivalent to TLIW5004A Manage train planning.</w:t>
      </w:r>
    </w:p>
    <w:p w:rsidR="00000000" w:rsidRPr="00F17D57" w:rsidP="00F17D57">
      <w:pPr>
        <w:pStyle w:val="Heading1"/>
      </w:pPr>
      <w:bookmarkStart w:id="10" w:name="O_754426"/>
      <w:bookmarkEnd w:id="10"/>
      <w:r w:rsidRPr="00F17D57">
        <w:t>Links</w:t>
      </w:r>
    </w:p>
    <w:p w:rsidR="00000000" w:rsidRPr="00F17D57" w:rsidP="00714CE8">
      <w:pPr>
        <w:pStyle w:val="BodyText"/>
      </w:pPr>
      <w:r w:rsidRPr="00F17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6F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7D57" w:rsidP="00714CE8">
      <w:pPr>
        <w:pStyle w:val="BodyText"/>
        <w:sectPr w:rsidSect="00F17D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17D57" w:rsidP="00F17D57">
      <w:pPr>
        <w:pStyle w:val="SuperHeading"/>
      </w:pPr>
      <w:r w:rsidRPr="00F17D57">
        <w:t xml:space="preserve">Assessment </w:t>
      </w:r>
      <w:r w:rsidRPr="00F17D57">
        <w:t>Requirements for TLIW5004 Manage train planning</w:t>
      </w:r>
    </w:p>
    <w:p w:rsidR="00000000" w:rsidRPr="00F17D57" w:rsidP="00F17D57">
      <w:pPr>
        <w:pStyle w:val="Heading1"/>
      </w:pPr>
      <w:bookmarkStart w:id="11" w:name="O_754421"/>
      <w:bookmarkEnd w:id="11"/>
      <w:r w:rsidRPr="00F17D57">
        <w:t>Modification History</w:t>
      </w:r>
    </w:p>
    <w:p w:rsidR="00714CE8" w:rsidP="00714CE8">
      <w:pPr>
        <w:pStyle w:val="BodyText"/>
      </w:pPr>
      <w:r w:rsidRPr="00F17D57">
        <w:t>Release 1. This is the first release of this unit of competency in the TLI Transport and Logistics Training Package.</w:t>
      </w:r>
    </w:p>
    <w:p w:rsidR="00000000" w:rsidRPr="00F17D57" w:rsidP="00F17D57">
      <w:pPr>
        <w:pStyle w:val="Heading1"/>
      </w:pPr>
      <w:bookmarkStart w:id="12" w:name="O_754422"/>
      <w:bookmarkEnd w:id="12"/>
      <w:r w:rsidRPr="00F17D57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Evidence requir</w:t>
            </w:r>
            <w:r w:rsidRPr="00F17D57">
              <w:t>ed to demonstrate competence in this unit must be relevant to and satisfy all of the requirements of the elements and performance criteria on at least one occasion and include: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ListBullet"/>
            </w:pPr>
            <w:r w:rsidRPr="00F17D57">
              <w:t>accessing and using rail industry standards and codes of practice</w:t>
            </w:r>
          </w:p>
          <w:p w:rsidR="00000000" w:rsidRPr="00F17D57" w:rsidP="00F17D57">
            <w:pPr>
              <w:pStyle w:val="ListBullet"/>
            </w:pPr>
            <w:r w:rsidRPr="00F17D57">
              <w:t>applying</w:t>
            </w:r>
            <w:r w:rsidRPr="00F17D57">
              <w:t xml:space="preserve"> relevant legislation and workplace procedures</w:t>
            </w:r>
          </w:p>
          <w:p w:rsidR="00000000" w:rsidRPr="00F17D57" w:rsidP="00F17D57">
            <w:pPr>
              <w:pStyle w:val="ListBullet"/>
            </w:pPr>
            <w:r w:rsidRPr="00F17D57">
              <w:t>developing and implementing strategies to optimise train planning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identifying job hazards and required action to minimise, control or eliminate identified hazards 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researching relevant information. </w:t>
            </w:r>
          </w:p>
        </w:tc>
      </w:tr>
    </w:tbl>
    <w:p w:rsidR="00000000" w:rsidRPr="00F17D57" w:rsidP="00F17D57">
      <w:pPr>
        <w:pStyle w:val="BodyText"/>
      </w:pPr>
    </w:p>
    <w:p w:rsidR="00000000" w:rsidRPr="00F17D57" w:rsidP="00F17D57">
      <w:pPr>
        <w:pStyle w:val="AllowPageBreak"/>
      </w:pPr>
    </w:p>
    <w:p w:rsidR="00000000" w:rsidRPr="00F17D57" w:rsidP="00F17D57">
      <w:pPr>
        <w:pStyle w:val="Heading1"/>
      </w:pPr>
      <w:bookmarkStart w:id="13" w:name="O_754423"/>
      <w:bookmarkEnd w:id="13"/>
      <w:r w:rsidRPr="00F17D57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D57">
            <w:pPr>
              <w:pStyle w:val="BodyText"/>
              <w:rPr>
                <w:lang w:val="en-NZ"/>
              </w:rPr>
            </w:pPr>
            <w:r w:rsidRPr="00F17D5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ListBullet"/>
            </w:pPr>
            <w:r w:rsidRPr="00F17D57">
              <w:t>capacity of network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changes in rail industry operations and technology with implications for rail planning 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key concepts and definitions relating to rail operations </w:t>
            </w:r>
          </w:p>
          <w:p w:rsidR="00000000" w:rsidRPr="00F17D57" w:rsidP="00F17D57">
            <w:pPr>
              <w:pStyle w:val="ListBullet"/>
            </w:pPr>
            <w:r w:rsidRPr="00F17D57">
              <w:t>key principles and practices associated with railway operations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key rail industry regulatory requirements and </w:t>
            </w:r>
            <w:r w:rsidRPr="00F17D57">
              <w:t xml:space="preserve">standards </w:t>
            </w:r>
          </w:p>
          <w:p w:rsidR="00000000" w:rsidRPr="00F17D57" w:rsidP="00F17D57">
            <w:pPr>
              <w:pStyle w:val="ListBullet"/>
            </w:pPr>
            <w:r w:rsidRPr="00F17D57">
              <w:t>rail industry and rail industry terminology, including terminology used in rail industry standards</w:t>
            </w:r>
          </w:p>
          <w:p w:rsidR="00000000" w:rsidRPr="00F17D57" w:rsidP="00F17D57">
            <w:pPr>
              <w:pStyle w:val="ListBullet"/>
            </w:pPr>
            <w:r w:rsidRPr="00F17D57">
              <w:t>rail regulatory framework</w:t>
            </w:r>
          </w:p>
          <w:p w:rsidR="00000000" w:rsidRPr="00F17D57" w:rsidP="00F17D57">
            <w:pPr>
              <w:pStyle w:val="ListBullet"/>
            </w:pPr>
            <w:r w:rsidRPr="00F17D57">
              <w:t>rail safety operating principles</w:t>
            </w:r>
          </w:p>
          <w:p w:rsidR="00000000" w:rsidRPr="00F17D57" w:rsidP="00F17D57">
            <w:pPr>
              <w:pStyle w:val="ListBullet"/>
            </w:pPr>
            <w:r w:rsidRPr="00F17D57">
              <w:t>relevant duty holders</w:t>
            </w:r>
          </w:p>
          <w:p w:rsidR="00000000" w:rsidRPr="00F17D57" w:rsidP="00F17D57">
            <w:pPr>
              <w:pStyle w:val="ListBullet"/>
            </w:pPr>
            <w:r w:rsidRPr="00F17D57">
              <w:t>relevant information to manage train planning</w:t>
            </w:r>
          </w:p>
          <w:p w:rsidR="00000000" w:rsidRPr="00F17D57" w:rsidP="00F17D57">
            <w:pPr>
              <w:pStyle w:val="ListBullet"/>
            </w:pPr>
            <w:r w:rsidRPr="00F17D57">
              <w:t>relevant rail indus</w:t>
            </w:r>
            <w:r w:rsidRPr="00F17D57">
              <w:t>try standards and codes of practice</w:t>
            </w:r>
          </w:p>
          <w:p w:rsidR="00000000" w:rsidRPr="00F17D57" w:rsidP="00F17D57">
            <w:pPr>
              <w:pStyle w:val="ListBullet"/>
            </w:pPr>
            <w:r w:rsidRPr="00F17D57">
              <w:t xml:space="preserve">relevant rail safety, work health and safety (WHS)/occupational health and safety (OHS) and environmental legislation related to train planning and running </w:t>
            </w:r>
          </w:p>
          <w:p w:rsidR="00000000" w:rsidRPr="00F17D57" w:rsidP="00F17D57">
            <w:pPr>
              <w:pStyle w:val="ListBullet"/>
            </w:pPr>
            <w:r w:rsidRPr="00F17D57">
              <w:t>train planning and management systems.</w:t>
            </w:r>
          </w:p>
        </w:tc>
      </w:tr>
    </w:tbl>
    <w:p w:rsidR="00714CE8" w:rsidP="00F17D57">
      <w:pPr>
        <w:pStyle w:val="BodyText"/>
      </w:pPr>
    </w:p>
    <w:p w:rsidR="00714CE8" w:rsidP="00F17D57">
      <w:pPr>
        <w:pStyle w:val="BodyText"/>
      </w:pPr>
    </w:p>
    <w:p w:rsidR="00000000" w:rsidRPr="00F17D57" w:rsidP="00F17D57">
      <w:pPr>
        <w:pStyle w:val="Heading1"/>
      </w:pPr>
      <w:bookmarkStart w:id="14" w:name="O_754424"/>
      <w:bookmarkEnd w:id="14"/>
      <w:r w:rsidRPr="00F17D57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14CE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D57" w:rsidP="00F17D57">
            <w:pPr>
              <w:pStyle w:val="BodyText"/>
            </w:pPr>
            <w:r w:rsidRPr="00F17D57">
              <w:t xml:space="preserve">As a minimum, assessors must satisfy applicable regulatory requirements, which include requirements in the </w:t>
            </w:r>
            <w:r w:rsidRPr="00F17D57">
              <w:rPr>
                <w:rStyle w:val="Emphasis"/>
              </w:rPr>
              <w:t>Standards for Registered Training Organisations</w:t>
            </w:r>
            <w:r w:rsidRPr="00F17D57">
              <w:t xml:space="preserve"> current at the time of assessment. </w:t>
            </w:r>
          </w:p>
          <w:p w:rsidR="00000000" w:rsidRPr="00F17D57" w:rsidP="00F17D57">
            <w:pPr>
              <w:pStyle w:val="BodyText"/>
            </w:pPr>
            <w:r w:rsidRPr="00F17D57">
              <w:t>As a minimum, assessment must satisfy appli</w:t>
            </w:r>
            <w:r w:rsidRPr="00F17D57">
              <w:t xml:space="preserve">cable regulatory requirements, which include requirements in the </w:t>
            </w:r>
            <w:r w:rsidRPr="00F17D57">
              <w:rPr>
                <w:rStyle w:val="Emphasis"/>
              </w:rPr>
              <w:t>Standards for Registered Training Organisations</w:t>
            </w:r>
            <w:r w:rsidRPr="00F17D57">
              <w:t xml:space="preserve"> current at the time of assessment.</w:t>
            </w:r>
          </w:p>
          <w:p w:rsidR="00000000" w:rsidRPr="00F17D57" w:rsidP="00F17D57">
            <w:pPr>
              <w:pStyle w:val="BodyText"/>
            </w:pPr>
            <w:r w:rsidRPr="00F17D57">
              <w:t>Assessment must occur in rail workplace operational situations or, where this is not available, in simulated</w:t>
            </w:r>
            <w:r w:rsidRPr="00F17D57">
              <w:t xml:space="preserve"> workplace operational situations that replicate rail workplace conditions.</w:t>
            </w:r>
          </w:p>
          <w:p w:rsidR="00000000" w:rsidRPr="00F17D57" w:rsidP="00F17D57">
            <w:pPr>
              <w:pStyle w:val="BodyText"/>
            </w:pPr>
            <w:r w:rsidRPr="00F17D5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17D57" w:rsidP="00F17D57">
            <w:pPr>
              <w:pStyle w:val="BodyText"/>
            </w:pPr>
            <w:r w:rsidRPr="00F17D57">
              <w:t>Resources fo</w:t>
            </w:r>
            <w:r w:rsidRPr="00F17D57">
              <w:t>r assessment include:</w:t>
            </w:r>
          </w:p>
          <w:p w:rsidR="00000000" w:rsidRPr="00F17D57" w:rsidP="00F17D57">
            <w:pPr>
              <w:pStyle w:val="ListBullet"/>
            </w:pPr>
            <w:r w:rsidRPr="00F17D57">
              <w:t>a range of relevant exercises, case studies and/or simulations</w:t>
            </w:r>
          </w:p>
          <w:p w:rsidR="00000000" w:rsidRPr="00F17D57" w:rsidP="00F17D57">
            <w:pPr>
              <w:pStyle w:val="ListBullet"/>
            </w:pPr>
            <w:r w:rsidRPr="00F17D57">
              <w:t>relevant and appropriate materials, tools, equipment and personal protective equipment currently used in industry</w:t>
            </w:r>
          </w:p>
          <w:p w:rsidR="00000000" w:rsidRPr="00F17D57" w:rsidP="00F17D57">
            <w:pPr>
              <w:pStyle w:val="ListBullet"/>
            </w:pPr>
            <w:r w:rsidRPr="00F17D57">
              <w:t>applicable documentation including workplace procedures,</w:t>
            </w:r>
            <w:r w:rsidRPr="00F17D57">
              <w:t xml:space="preserve"> regulations, rail industry standards, codes of practice and operation manuals.</w:t>
            </w:r>
          </w:p>
        </w:tc>
      </w:tr>
    </w:tbl>
    <w:p w:rsidR="00000000" w:rsidRPr="00F17D57" w:rsidP="00F17D57">
      <w:pPr>
        <w:pStyle w:val="BodyText"/>
      </w:pPr>
    </w:p>
    <w:p w:rsidR="00000000" w:rsidRPr="00F17D57" w:rsidP="00F17D57">
      <w:pPr>
        <w:pStyle w:val="AllowPageBreak"/>
      </w:pPr>
    </w:p>
    <w:p w:rsidR="00000000" w:rsidRPr="00F17D57" w:rsidP="00F17D57">
      <w:pPr>
        <w:pStyle w:val="Heading1"/>
      </w:pPr>
      <w:bookmarkStart w:id="15" w:name="O_754427"/>
      <w:bookmarkEnd w:id="15"/>
      <w:r w:rsidRPr="00F17D57">
        <w:t>Links</w:t>
      </w:r>
    </w:p>
    <w:p w:rsidR="00000000" w:rsidRPr="00F17D57" w:rsidP="00714CE8">
      <w:pPr>
        <w:pStyle w:val="BodyText"/>
      </w:pPr>
      <w:r w:rsidRPr="00F17D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06F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17D57" w:rsidP="00F17D57"/>
    <w:sectPr w:rsidSect="00F17D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 w:rsidRPr="00714CE8" w:rsidP="00714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E8" w:rsidP="00F17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CE8" w:rsidP="00F17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14CE8" w:rsidP="00F17D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 w:rsidP="00F17D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14CE8">
      <w:t>Approved</w:t>
    </w:r>
    <w:r w:rsidR="00714C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14C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14CE8">
      <w:rPr>
        <w:noProof/>
      </w:rPr>
      <w:t>4</w:t>
    </w:r>
    <w:r>
      <w:rPr>
        <w:noProof/>
      </w:rPr>
      <w:fldChar w:fldCharType="end"/>
    </w:r>
  </w:p>
  <w:p w:rsidR="00F17D57" w:rsidP="00F17D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14C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14CE8">
      <w:t>Industry Skills Australia</w:t>
    </w:r>
    <w:r w:rsidR="00714CE8">
      <w:fldChar w:fldCharType="end"/>
    </w:r>
  </w:p>
  <w:p w:rsidR="00F17D57" w:rsidP="00F17D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D57" w:rsidRPr="00714CE8" w:rsidP="00714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CE8" w:rsidRPr="002D2AF8" w:rsidP="00F17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TLIW5004 Manage train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14CE8" w:rsidP="00F17D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57" w:rsidRPr="002D2AF8" w:rsidP="00F17D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14CE8">
      <w:t>TLIW5004 Manage train planning</w:t>
    </w:r>
    <w:r w:rsidR="00714C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14CE8">
      <w:rPr>
        <w:noProof/>
      </w:rPr>
      <w:t>1 March 2025</w:t>
    </w:r>
    <w:r>
      <w:fldChar w:fldCharType="end"/>
    </w:r>
  </w:p>
  <w:p w:rsidR="00F17D57" w:rsidP="00F17D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42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FA9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E8C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D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D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D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D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D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D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D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D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D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D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D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D57"/>
  </w:style>
  <w:style w:type="character" w:customStyle="1" w:styleId="Heading1Char">
    <w:name w:val="Heading 1 Char"/>
    <w:basedOn w:val="DefaultParagraphFont"/>
    <w:link w:val="Heading1"/>
    <w:rsid w:val="00F17D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D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D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D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D57"/>
    <w:rPr>
      <w:b/>
      <w:spacing w:val="0"/>
    </w:rPr>
  </w:style>
  <w:style w:type="paragraph" w:styleId="ListBullet2">
    <w:name w:val="List Bullet 2"/>
    <w:basedOn w:val="List2"/>
    <w:rsid w:val="00F17D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17D57"/>
    <w:rPr>
      <w:i/>
    </w:rPr>
  </w:style>
  <w:style w:type="paragraph" w:customStyle="1" w:styleId="SuperHeading">
    <w:name w:val="SuperHeading"/>
    <w:basedOn w:val="Normal"/>
    <w:rsid w:val="00F17D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D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D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D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D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D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D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D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D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D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D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D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D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D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D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D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D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D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D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D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D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D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D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7D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D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D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D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D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D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D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D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D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D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D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D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D57"/>
  </w:style>
  <w:style w:type="paragraph" w:styleId="TableofFigures">
    <w:name w:val="table of figures"/>
    <w:basedOn w:val="Normal"/>
    <w:next w:val="Normal"/>
    <w:semiHidden/>
    <w:rsid w:val="00F17D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D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7D57"/>
    <w:rPr>
      <w:rFonts w:ascii="Wingdings" w:hAnsi="Wingdings"/>
    </w:rPr>
  </w:style>
  <w:style w:type="paragraph" w:customStyle="1" w:styleId="TableHeading">
    <w:name w:val="Table Heading"/>
    <w:basedOn w:val="HeadingBase"/>
    <w:rsid w:val="00F17D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D57"/>
    <w:rPr>
      <w:color w:val="0033CC"/>
      <w:u w:val="none"/>
    </w:rPr>
  </w:style>
  <w:style w:type="paragraph" w:customStyle="1" w:styleId="BodyTextRight">
    <w:name w:val="Body Text Right"/>
    <w:basedOn w:val="BodyText"/>
    <w:rsid w:val="00F17D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D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D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D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D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D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D57"/>
    <w:rPr>
      <w:sz w:val="32"/>
    </w:rPr>
  </w:style>
  <w:style w:type="paragraph" w:customStyle="1" w:styleId="HeadingProcedure">
    <w:name w:val="Heading Procedure"/>
    <w:basedOn w:val="HeadingBase"/>
    <w:next w:val="Normal"/>
    <w:rsid w:val="00F17D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D57"/>
    <w:pPr>
      <w:spacing w:before="60" w:after="60"/>
    </w:pPr>
  </w:style>
  <w:style w:type="paragraph" w:styleId="ListContinue">
    <w:name w:val="List Continue"/>
    <w:basedOn w:val="List"/>
    <w:rsid w:val="00F17D57"/>
    <w:pPr>
      <w:ind w:firstLine="0"/>
    </w:pPr>
  </w:style>
  <w:style w:type="paragraph" w:customStyle="1" w:styleId="ListNote">
    <w:name w:val="List Note"/>
    <w:basedOn w:val="List"/>
    <w:rsid w:val="00F17D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D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D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D57"/>
    <w:rPr>
      <w:rFonts w:ascii="Courier New" w:hAnsi="Courier New"/>
    </w:rPr>
  </w:style>
  <w:style w:type="paragraph" w:customStyle="1" w:styleId="NoteBullet">
    <w:name w:val="Note Bullet"/>
    <w:basedOn w:val="Note"/>
    <w:rsid w:val="00F17D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D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D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D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D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7D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D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D57"/>
    <w:rPr>
      <w:b/>
      <w:smallCaps/>
    </w:rPr>
  </w:style>
  <w:style w:type="paragraph" w:customStyle="1" w:styleId="TableListNumber">
    <w:name w:val="Table List Number"/>
    <w:basedOn w:val="ListNumber"/>
    <w:rsid w:val="00F17D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D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D57"/>
    <w:pPr>
      <w:numPr>
        <w:numId w:val="9"/>
      </w:numPr>
    </w:pPr>
  </w:style>
  <w:style w:type="paragraph" w:customStyle="1" w:styleId="ListAlpha2">
    <w:name w:val="List Alpha 2"/>
    <w:basedOn w:val="List2"/>
    <w:rsid w:val="00F17D57"/>
    <w:pPr>
      <w:numPr>
        <w:numId w:val="8"/>
      </w:numPr>
    </w:pPr>
  </w:style>
  <w:style w:type="paragraph" w:styleId="List2">
    <w:name w:val="List 2"/>
    <w:basedOn w:val="BodyText"/>
    <w:rsid w:val="00F17D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D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D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D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D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D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7D57"/>
    <w:pPr>
      <w:numPr>
        <w:numId w:val="4"/>
      </w:numPr>
    </w:pPr>
  </w:style>
  <w:style w:type="paragraph" w:styleId="ListContinue2">
    <w:name w:val="List Continue 2"/>
    <w:basedOn w:val="List2"/>
    <w:rsid w:val="00F17D57"/>
    <w:pPr>
      <w:ind w:firstLine="0"/>
    </w:pPr>
  </w:style>
  <w:style w:type="paragraph" w:styleId="ListContinue3">
    <w:name w:val="List Continue 3"/>
    <w:basedOn w:val="List3"/>
    <w:rsid w:val="00F17D57"/>
    <w:pPr>
      <w:ind w:left="1021" w:firstLine="0"/>
    </w:pPr>
  </w:style>
  <w:style w:type="paragraph" w:styleId="ListContinue4">
    <w:name w:val="List Continue 4"/>
    <w:basedOn w:val="List4"/>
    <w:rsid w:val="00F17D57"/>
    <w:pPr>
      <w:ind w:firstLine="0"/>
    </w:pPr>
  </w:style>
  <w:style w:type="paragraph" w:styleId="ListContinue5">
    <w:name w:val="List Continue 5"/>
    <w:basedOn w:val="List5"/>
    <w:rsid w:val="00F17D57"/>
    <w:pPr>
      <w:ind w:firstLine="0"/>
    </w:pPr>
  </w:style>
  <w:style w:type="paragraph" w:styleId="ListNumber3">
    <w:name w:val="List Number 3"/>
    <w:basedOn w:val="List3"/>
    <w:rsid w:val="00F17D57"/>
    <w:pPr>
      <w:numPr>
        <w:numId w:val="5"/>
      </w:numPr>
    </w:pPr>
  </w:style>
  <w:style w:type="paragraph" w:styleId="ListNumber4">
    <w:name w:val="List Number 4"/>
    <w:basedOn w:val="List4"/>
    <w:rsid w:val="00F17D57"/>
    <w:pPr>
      <w:numPr>
        <w:numId w:val="6"/>
      </w:numPr>
    </w:pPr>
  </w:style>
  <w:style w:type="paragraph" w:styleId="ListNumber5">
    <w:name w:val="List Number 5"/>
    <w:basedOn w:val="List5"/>
    <w:rsid w:val="00F17D57"/>
    <w:pPr>
      <w:numPr>
        <w:numId w:val="7"/>
      </w:numPr>
    </w:pPr>
  </w:style>
  <w:style w:type="paragraph" w:styleId="BlockText">
    <w:name w:val="Block Text"/>
    <w:basedOn w:val="Normal"/>
    <w:rsid w:val="00F17D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D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D57"/>
    <w:rPr>
      <w:sz w:val="16"/>
      <w:vertAlign w:val="superscript"/>
    </w:rPr>
  </w:style>
  <w:style w:type="character" w:customStyle="1" w:styleId="Symbols">
    <w:name w:val="Symbols"/>
    <w:basedOn w:val="DefaultParagraphFont"/>
    <w:rsid w:val="00F17D57"/>
    <w:rPr>
      <w:rFonts w:ascii="Symbol" w:hAnsi="Symbol"/>
    </w:rPr>
  </w:style>
  <w:style w:type="character" w:customStyle="1" w:styleId="MenuOptions">
    <w:name w:val="Menu Options"/>
    <w:basedOn w:val="DefaultParagraphFont"/>
    <w:rsid w:val="00F17D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D57"/>
    <w:rPr>
      <w:b/>
    </w:rPr>
  </w:style>
  <w:style w:type="character" w:customStyle="1" w:styleId="Underlined">
    <w:name w:val="Underlined"/>
    <w:basedOn w:val="DefaultParagraphFont"/>
    <w:rsid w:val="00F17D57"/>
    <w:rPr>
      <w:u w:val="single"/>
    </w:rPr>
  </w:style>
  <w:style w:type="paragraph" w:customStyle="1" w:styleId="TableBodyTextRight">
    <w:name w:val="Table Body Text Right"/>
    <w:basedOn w:val="TableBodyText"/>
    <w:rsid w:val="00F17D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D57"/>
    <w:rPr>
      <w:sz w:val="18"/>
    </w:rPr>
  </w:style>
  <w:style w:type="paragraph" w:customStyle="1" w:styleId="BodySmallRight">
    <w:name w:val="Body Small Right"/>
    <w:basedOn w:val="BodyTextRight"/>
    <w:rsid w:val="00F17D57"/>
    <w:rPr>
      <w:sz w:val="18"/>
      <w:szCs w:val="18"/>
    </w:rPr>
  </w:style>
  <w:style w:type="paragraph" w:customStyle="1" w:styleId="MarginEdition">
    <w:name w:val="Margin Edition"/>
    <w:basedOn w:val="MarginNote"/>
    <w:rsid w:val="00F17D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D57"/>
    <w:rPr>
      <w:sz w:val="2"/>
      <w:szCs w:val="2"/>
    </w:rPr>
  </w:style>
  <w:style w:type="character" w:customStyle="1" w:styleId="Small">
    <w:name w:val="Small"/>
    <w:basedOn w:val="DefaultParagraphFont"/>
    <w:rsid w:val="00F17D57"/>
    <w:rPr>
      <w:sz w:val="16"/>
    </w:rPr>
  </w:style>
  <w:style w:type="paragraph" w:customStyle="1" w:styleId="WideTable">
    <w:name w:val="Wide Table"/>
    <w:basedOn w:val="Normal"/>
    <w:rsid w:val="00F17D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D57"/>
  </w:style>
  <w:style w:type="paragraph" w:styleId="Quote">
    <w:name w:val="Quote"/>
    <w:basedOn w:val="Heading1"/>
    <w:link w:val="QuoteChar"/>
    <w:qFormat/>
    <w:rsid w:val="00F17D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D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D57"/>
    <w:pPr>
      <w:pageBreakBefore/>
    </w:pPr>
  </w:style>
  <w:style w:type="paragraph" w:customStyle="1" w:styleId="Border">
    <w:name w:val="Border"/>
    <w:basedOn w:val="Normal"/>
    <w:qFormat/>
    <w:rsid w:val="00F17D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D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D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D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D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D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D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D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D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D57"/>
    <w:rPr>
      <w:u w:val="single"/>
    </w:rPr>
  </w:style>
  <w:style w:type="character" w:customStyle="1" w:styleId="BoldandItalics">
    <w:name w:val="Bold and Italics"/>
    <w:qFormat/>
    <w:rsid w:val="00F17D57"/>
    <w:rPr>
      <w:b/>
      <w:i/>
      <w:u w:val="none"/>
    </w:rPr>
  </w:style>
  <w:style w:type="paragraph" w:styleId="BalloonText">
    <w:name w:val="Balloon Text"/>
    <w:basedOn w:val="Normal"/>
    <w:link w:val="BalloonTextChar"/>
    <w:rsid w:val="00F17D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D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D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D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D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D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D57"/>
    <w:pPr>
      <w:spacing w:before="0" w:after="0"/>
    </w:pPr>
  </w:style>
  <w:style w:type="paragraph" w:customStyle="1" w:styleId="BodyTextBold">
    <w:name w:val="Body Text Bold"/>
    <w:basedOn w:val="BodyText"/>
    <w:qFormat/>
    <w:rsid w:val="00F17D57"/>
    <w:rPr>
      <w:b/>
    </w:rPr>
  </w:style>
  <w:style w:type="character" w:styleId="Hyperlink">
    <w:name w:val="Hyperlink"/>
    <w:basedOn w:val="DefaultParagraphFont"/>
    <w:uiPriority w:val="99"/>
    <w:unhideWhenUsed/>
    <w:rsid w:val="00714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5219</Characters>
  <Application>Microsoft Office Word</Application>
  <DocSecurity>0</DocSecurity>
  <Lines>158</Lines>
  <Paragraphs>111</Paragraphs>
  <ScaleCrop>false</ScaleCrop>
  <Company>Author-it Software Corporation Ltd.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TLIW5004 Manage train planning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