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EB6" w:rsidP="00690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TLIW3034 Apply protective coating systems to structures</w:t>
      </w:r>
      <w:r>
        <w:fldChar w:fldCharType="end"/>
      </w:r>
    </w:p>
    <w:p w:rsidR="00690EB6" w:rsidP="00690EB6">
      <w:pPr>
        <w:pStyle w:val="Version"/>
        <w:sectPr w:rsidSect="00D67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762D" w:rsidP="00D6762D">
      <w:pPr>
        <w:pStyle w:val="SuperHeading"/>
      </w:pPr>
      <w:r w:rsidRPr="00D6762D">
        <w:t>TLIW3034 Apply protective coating systems to structures</w:t>
      </w:r>
    </w:p>
    <w:p w:rsidR="00000000" w:rsidRPr="00D6762D" w:rsidP="00D6762D">
      <w:pPr>
        <w:pStyle w:val="Heading1"/>
      </w:pPr>
      <w:bookmarkStart w:id="1" w:name="O_1121381"/>
      <w:bookmarkEnd w:id="1"/>
      <w:r w:rsidRPr="00D676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t>Release 2. This is the second release of this unit of competency in the TLI Transport and Logistics Training Package:</w:t>
            </w:r>
          </w:p>
          <w:p w:rsidR="00000000" w:rsidRPr="00D6762D" w:rsidP="00D6762D">
            <w:pPr>
              <w:pStyle w:val="ListBullet"/>
            </w:pPr>
            <w:r w:rsidRPr="00D6762D">
              <w:t>Minor statement change in Performance Evidence</w:t>
            </w:r>
          </w:p>
          <w:p w:rsidR="00000000" w:rsidRPr="00D6762D" w:rsidP="00D6762D">
            <w:pPr>
              <w:pStyle w:val="ListBullet"/>
            </w:pPr>
            <w:r w:rsidRPr="00D6762D">
              <w:t>Minor statement change in Knowledge Evidence</w:t>
            </w:r>
          </w:p>
          <w:p w:rsidR="00000000" w:rsidP="00D6762D">
            <w:pPr>
              <w:pStyle w:val="ListBullet"/>
              <w:rPr>
                <w:lang w:val="en-NZ"/>
              </w:rPr>
            </w:pPr>
            <w:r w:rsidRPr="00D6762D">
              <w:t xml:space="preserve">Minor </w:t>
            </w:r>
            <w:r w:rsidRPr="00D6762D">
              <w:t>statement changes in Assessment Conditions.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t>Release 1. This is the first release of this unit of competency in the TLI Transport and Logistics Training Package.</w:t>
            </w:r>
          </w:p>
        </w:tc>
      </w:tr>
    </w:tbl>
    <w:p w:rsidR="00000000" w:rsidRPr="00D6762D" w:rsidP="00D6762D">
      <w:pPr>
        <w:pStyle w:val="NoPaddingFontSize1"/>
      </w:pPr>
    </w:p>
    <w:p w:rsidR="00000000" w:rsidRPr="00D6762D" w:rsidP="00D6762D">
      <w:pPr>
        <w:pStyle w:val="AllowPageBreak"/>
      </w:pPr>
    </w:p>
    <w:p w:rsidR="00000000" w:rsidRPr="00D6762D" w:rsidP="00D6762D">
      <w:pPr>
        <w:pStyle w:val="Heading1"/>
      </w:pPr>
      <w:bookmarkStart w:id="2" w:name="O_1121380"/>
      <w:bookmarkEnd w:id="2"/>
      <w:r w:rsidRPr="00D6762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90E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t>This unit involves the skills and knowledge required to apply</w:t>
            </w:r>
            <w:r w:rsidRPr="00D6762D">
              <w:t xml:space="preserve"> protective coating systems to structures using manual or mechanical methods in accordance with organisational requirements. </w:t>
            </w:r>
          </w:p>
          <w:p w:rsidR="00000000" w:rsidRPr="00D6762D" w:rsidP="00D6762D">
            <w:pPr>
              <w:pStyle w:val="BodyText"/>
            </w:pPr>
            <w:r w:rsidRPr="00D6762D">
              <w:t xml:space="preserve">It includes planning, preparing the surface, applying surface coatings and completing required documentation. </w:t>
            </w:r>
          </w:p>
          <w:p w:rsidR="00000000" w:rsidRPr="00D6762D" w:rsidP="00D6762D">
            <w:pPr>
              <w:pStyle w:val="BodyText"/>
            </w:pPr>
            <w:r w:rsidRPr="00D6762D">
              <w:t>People achieving co</w:t>
            </w:r>
            <w:r w:rsidRPr="00D6762D">
              <w:t>mpetence in this unit will need to fulfil any legislated work health and safety (WHS)/occupational health and safety (OHS) requirements and applicable state/territory rail safety requirements, and to comply with relevant codes of practice and/or guidelines</w:t>
            </w:r>
            <w:r w:rsidRPr="00D6762D">
              <w:t>.</w:t>
            </w:r>
          </w:p>
          <w:p w:rsidR="00000000" w:rsidRPr="00D6762D" w:rsidP="00D6762D">
            <w:pPr>
              <w:pStyle w:val="BodyText"/>
            </w:pPr>
            <w:r w:rsidRPr="00D6762D">
              <w:t>Work involves applying routine operational principles and procedures when applying protective coating systems to structures, as part of workplace activities across a variety of contexts within the Australian rail system.</w:t>
            </w:r>
          </w:p>
          <w:p w:rsidR="00000000" w:rsidRPr="00D6762D" w:rsidP="00D6762D">
            <w:pPr>
              <w:pStyle w:val="BodyText"/>
            </w:pPr>
            <w:r w:rsidRPr="00D6762D">
              <w:t>No licensing, legislative or certification requirements apply to this unit at the time of publication.</w:t>
            </w:r>
          </w:p>
        </w:tc>
      </w:tr>
    </w:tbl>
    <w:p w:rsidR="00690EB6" w:rsidP="00D6762D">
      <w:pPr>
        <w:pStyle w:val="BodyText"/>
      </w:pPr>
    </w:p>
    <w:p w:rsidR="00690EB6" w:rsidP="00D6762D">
      <w:pPr>
        <w:pStyle w:val="BodyText"/>
      </w:pPr>
    </w:p>
    <w:p w:rsidR="00000000" w:rsidRPr="00D6762D" w:rsidP="00D6762D">
      <w:pPr>
        <w:pStyle w:val="Heading1"/>
      </w:pPr>
      <w:bookmarkStart w:id="3" w:name="O_1121379"/>
      <w:bookmarkEnd w:id="3"/>
      <w:r w:rsidRPr="00D6762D">
        <w:t>Pre-requisite Unit</w:t>
      </w:r>
    </w:p>
    <w:p w:rsidR="00690EB6" w:rsidP="00690EB6">
      <w:pPr>
        <w:pStyle w:val="BodyText"/>
      </w:pPr>
      <w:r w:rsidRPr="00D6762D">
        <w:t>Not applicable.</w:t>
      </w:r>
    </w:p>
    <w:p w:rsidR="00000000" w:rsidRPr="00D6762D" w:rsidP="00D6762D">
      <w:pPr>
        <w:pStyle w:val="Heading1"/>
      </w:pPr>
      <w:bookmarkStart w:id="4" w:name="O_1121378"/>
      <w:bookmarkEnd w:id="4"/>
      <w:r w:rsidRPr="00D6762D">
        <w:t>Competency Field</w:t>
      </w:r>
    </w:p>
    <w:p w:rsidR="00690EB6" w:rsidP="00690EB6">
      <w:pPr>
        <w:pStyle w:val="BodyText"/>
      </w:pPr>
      <w:r w:rsidRPr="00D6762D">
        <w:t>W – Equipment and Systems Operations</w:t>
      </w:r>
    </w:p>
    <w:p w:rsidR="00000000" w:rsidRPr="00D6762D" w:rsidP="00D6762D">
      <w:pPr>
        <w:pStyle w:val="Heading1"/>
      </w:pPr>
      <w:bookmarkStart w:id="5" w:name="O_1121377"/>
      <w:bookmarkEnd w:id="5"/>
      <w:r w:rsidRPr="00D6762D">
        <w:t>Un</w:t>
      </w:r>
      <w:r w:rsidRPr="00D6762D">
        <w:t>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t>Rail sector.</w:t>
            </w:r>
          </w:p>
        </w:tc>
      </w:tr>
    </w:tbl>
    <w:p w:rsidR="00000000" w:rsidRPr="00D6762D" w:rsidP="00D6762D">
      <w:pPr>
        <w:pStyle w:val="NoPaddingFontSize1"/>
      </w:pPr>
    </w:p>
    <w:p w:rsidR="00000000" w:rsidRPr="00D6762D" w:rsidP="00D6762D">
      <w:pPr>
        <w:pStyle w:val="AllowPageBreak"/>
      </w:pPr>
    </w:p>
    <w:p w:rsidR="00000000" w:rsidRPr="00D6762D" w:rsidP="00D6762D">
      <w:pPr>
        <w:pStyle w:val="Heading1"/>
      </w:pPr>
      <w:bookmarkStart w:id="6" w:name="O_1121376"/>
      <w:bookmarkEnd w:id="6"/>
      <w:r w:rsidRPr="00D6762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PERFORMANCE CRITERIA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Performance criteria describe the performance needed to demonstrate achievement of the element.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Plan surface coating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Equipment, accessories and consumables are assembled and checked for applicability to the surface coating tasks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Safety data sheets (SDS)/material safety data sheets (MSDS), product application and safety information are read and used to inform work practices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Hazards are identified, risks are assessed and control measures are implemented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Particular proc</w:t>
            </w:r>
            <w:r w:rsidRPr="00D6762D">
              <w:t>ess techniques, time and safety requirements are noted and used to inform work planning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Undertake surface preparation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Characteristics of uncoated surfaces and problems to be rectified are identified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Appropriate surface preparation is carried out in accordance with identified problems and organisational standards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Surface preparation is checked for compliance with required organisational standards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Apply surface coating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Required surface coa</w:t>
            </w:r>
            <w:r w:rsidRPr="00D6762D">
              <w:t>ting materials and methods to be used are identified and appropriate tools, equipment and materials are selected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Sequence of work is identified, maximising potential of the applied finish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Equipment and accessories are used in line with manufa</w:t>
            </w:r>
            <w:r w:rsidRPr="00D6762D">
              <w:t>cturer and organisational specifications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Surface coating depth and coverage are checked for compliance with specifications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Surfaces are kept free of contamination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Faults and problems are identified and action is taken to rectify them in accordance with manufacturer specifications and organisational procedures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rPr>
                <w:rStyle w:val="SpecialBold"/>
              </w:rPr>
              <w:t>Complete workplace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Tools and equipment are cleaned prior to storage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Tools, equipment and unused materials are relocated to storage or next operational location as required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t>Waste materials are disposed of correctly following organisational and environmental policies and procedures</w:t>
            </w:r>
          </w:p>
        </w:tc>
      </w:tr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62D">
            <w:pPr>
              <w:pStyle w:val="BodyText"/>
              <w:rPr>
                <w:lang w:val="en-NZ"/>
              </w:rPr>
            </w:pPr>
            <w:r w:rsidRPr="00D6762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t>Documentation and records are</w:t>
            </w:r>
            <w:r w:rsidRPr="00D6762D">
              <w:t xml:space="preserve"> completed in accordance with organisational procedures</w:t>
            </w:r>
          </w:p>
        </w:tc>
      </w:tr>
    </w:tbl>
    <w:p w:rsidR="00000000" w:rsidRPr="00D6762D" w:rsidP="00D6762D">
      <w:pPr>
        <w:pStyle w:val="NoPaddingFontSize1"/>
      </w:pPr>
    </w:p>
    <w:p w:rsidR="00000000" w:rsidRPr="00D6762D" w:rsidP="00D6762D">
      <w:pPr>
        <w:pStyle w:val="AllowPageBreak"/>
      </w:pPr>
    </w:p>
    <w:p w:rsidR="00000000" w:rsidRPr="00D6762D" w:rsidP="00D6762D">
      <w:pPr>
        <w:pStyle w:val="Heading1"/>
      </w:pPr>
      <w:bookmarkStart w:id="7" w:name="O_1121375"/>
      <w:bookmarkEnd w:id="7"/>
      <w:r w:rsidRPr="00D6762D">
        <w:t>Foundation Skills</w:t>
      </w:r>
    </w:p>
    <w:p w:rsidR="00690EB6" w:rsidP="00690EB6">
      <w:pPr>
        <w:pStyle w:val="BodyText"/>
      </w:pPr>
      <w:r w:rsidRPr="00D6762D">
        <w:t>Foundation skills essential to performance are explicit in the performance criteria of this unit of competency.</w:t>
      </w:r>
    </w:p>
    <w:p w:rsidR="00000000" w:rsidRPr="00D6762D" w:rsidP="00D6762D">
      <w:pPr>
        <w:pStyle w:val="Heading1"/>
      </w:pPr>
      <w:bookmarkStart w:id="8" w:name="O_1121374"/>
      <w:bookmarkEnd w:id="8"/>
      <w:r w:rsidRPr="00D676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62D" w:rsidP="00D6762D">
            <w:pPr>
              <w:pStyle w:val="BodyText"/>
            </w:pPr>
            <w:r w:rsidRPr="00D6762D">
              <w:t>Range is restricted to essential operating conditions and any other variables essential to the work environment.</w:t>
            </w:r>
          </w:p>
          <w:p w:rsidR="00000000" w:rsidRPr="00D6762D" w:rsidP="00D6762D">
            <w:pPr>
              <w:pStyle w:val="BodyText"/>
            </w:pPr>
            <w:r w:rsidRPr="00D6762D">
              <w:t>Non-essential conditions can be found in the TLI Transport and Logistics Training Package Companion Volume Implementation Guide.</w:t>
            </w:r>
          </w:p>
        </w:tc>
      </w:tr>
    </w:tbl>
    <w:p w:rsidR="00000000" w:rsidRPr="00D6762D" w:rsidP="00D6762D">
      <w:pPr>
        <w:pStyle w:val="NoPaddingFontSize1"/>
      </w:pPr>
    </w:p>
    <w:p w:rsidR="00000000" w:rsidRPr="00D6762D" w:rsidP="00D6762D">
      <w:pPr>
        <w:pStyle w:val="AllowPageBreak"/>
      </w:pPr>
    </w:p>
    <w:p w:rsidR="00000000" w:rsidRPr="00D6762D" w:rsidP="00D6762D">
      <w:pPr>
        <w:pStyle w:val="Heading1"/>
      </w:pPr>
      <w:bookmarkStart w:id="9" w:name="O_1121373"/>
      <w:bookmarkEnd w:id="9"/>
      <w:r w:rsidRPr="00D6762D">
        <w:t>Unit Mapping Information</w:t>
      </w:r>
    </w:p>
    <w:p w:rsidR="00690EB6" w:rsidP="00690EB6">
      <w:pPr>
        <w:pStyle w:val="BodyText"/>
      </w:pPr>
      <w:r w:rsidRPr="00D6762D">
        <w:t>This unit replaces and is equivalent to TLIW3034A Apply protective coating systems to structures.</w:t>
      </w:r>
    </w:p>
    <w:p w:rsidR="00000000" w:rsidRPr="00D6762D" w:rsidP="00D6762D">
      <w:pPr>
        <w:pStyle w:val="Heading1"/>
      </w:pPr>
      <w:bookmarkStart w:id="10" w:name="O_1121382"/>
      <w:bookmarkEnd w:id="10"/>
      <w:r w:rsidRPr="00D6762D">
        <w:t>Links</w:t>
      </w:r>
    </w:p>
    <w:p w:rsidR="00000000" w:rsidRPr="00D6762D" w:rsidP="00690EB6">
      <w:pPr>
        <w:pStyle w:val="BodyText"/>
      </w:pPr>
      <w:r w:rsidRPr="00D676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3B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762D" w:rsidP="00D6762D"/>
    <w:sectPr w:rsidSect="00D67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2D" w:rsidRPr="00690EB6" w:rsidP="00690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B6" w:rsidP="00D67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EB6" w:rsidP="00D67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0EB6" w:rsidP="00D67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62D" w:rsidRPr="00690EB6" w:rsidP="00690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B6" w:rsidRPr="002D2AF8" w:rsidP="00D67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TLIW3034 Apply protective coating systems to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90EB6" w:rsidP="00D67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E2A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1C1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62D"/>
  </w:style>
  <w:style w:type="character" w:customStyle="1" w:styleId="Heading1Char">
    <w:name w:val="Heading 1 Char"/>
    <w:basedOn w:val="DefaultParagraphFont"/>
    <w:link w:val="Heading1"/>
    <w:rsid w:val="00D67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6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62D"/>
    <w:rPr>
      <w:b/>
      <w:spacing w:val="0"/>
    </w:rPr>
  </w:style>
  <w:style w:type="paragraph" w:customStyle="1" w:styleId="SuperHeading">
    <w:name w:val="SuperHeading"/>
    <w:basedOn w:val="Normal"/>
    <w:rsid w:val="00D67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7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6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62D"/>
    <w:rPr>
      <w:i/>
    </w:rPr>
  </w:style>
  <w:style w:type="paragraph" w:styleId="Caption">
    <w:name w:val="caption"/>
    <w:basedOn w:val="BodyText"/>
    <w:next w:val="Normal"/>
    <w:qFormat/>
    <w:rsid w:val="00D67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62D"/>
  </w:style>
  <w:style w:type="paragraph" w:styleId="TableofFigures">
    <w:name w:val="table of figures"/>
    <w:basedOn w:val="Normal"/>
    <w:next w:val="Normal"/>
    <w:semiHidden/>
    <w:rsid w:val="00D67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6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62D"/>
    <w:rPr>
      <w:rFonts w:ascii="Wingdings" w:hAnsi="Wingdings"/>
    </w:rPr>
  </w:style>
  <w:style w:type="paragraph" w:customStyle="1" w:styleId="TableHeading">
    <w:name w:val="Table Heading"/>
    <w:basedOn w:val="HeadingBase"/>
    <w:rsid w:val="00D67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62D"/>
    <w:rPr>
      <w:color w:val="0033CC"/>
      <w:u w:val="none"/>
    </w:rPr>
  </w:style>
  <w:style w:type="paragraph" w:customStyle="1" w:styleId="BodyTextRight">
    <w:name w:val="Body Text Right"/>
    <w:basedOn w:val="BodyText"/>
    <w:rsid w:val="00D67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6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62D"/>
    <w:rPr>
      <w:sz w:val="32"/>
    </w:rPr>
  </w:style>
  <w:style w:type="paragraph" w:customStyle="1" w:styleId="HeadingProcedure">
    <w:name w:val="Heading Procedure"/>
    <w:basedOn w:val="HeadingBase"/>
    <w:next w:val="Normal"/>
    <w:rsid w:val="00D67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62D"/>
    <w:pPr>
      <w:spacing w:before="60" w:after="60"/>
    </w:pPr>
  </w:style>
  <w:style w:type="paragraph" w:styleId="ListContinue">
    <w:name w:val="List Continue"/>
    <w:basedOn w:val="List"/>
    <w:rsid w:val="00D6762D"/>
    <w:pPr>
      <w:ind w:firstLine="0"/>
    </w:pPr>
  </w:style>
  <w:style w:type="paragraph" w:customStyle="1" w:styleId="ListNote">
    <w:name w:val="List Note"/>
    <w:basedOn w:val="List"/>
    <w:rsid w:val="00D67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62D"/>
    <w:rPr>
      <w:rFonts w:ascii="Courier New" w:hAnsi="Courier New"/>
    </w:rPr>
  </w:style>
  <w:style w:type="paragraph" w:customStyle="1" w:styleId="NoteBullet">
    <w:name w:val="Note Bullet"/>
    <w:basedOn w:val="Note"/>
    <w:rsid w:val="00D67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6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62D"/>
    <w:rPr>
      <w:b/>
      <w:smallCaps/>
    </w:rPr>
  </w:style>
  <w:style w:type="paragraph" w:customStyle="1" w:styleId="TableListNumber">
    <w:name w:val="Table List Number"/>
    <w:basedOn w:val="ListNumber"/>
    <w:rsid w:val="00D67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62D"/>
    <w:pPr>
      <w:numPr>
        <w:numId w:val="8"/>
      </w:numPr>
    </w:pPr>
  </w:style>
  <w:style w:type="paragraph" w:customStyle="1" w:styleId="ListAlpha2">
    <w:name w:val="List Alpha 2"/>
    <w:basedOn w:val="List2"/>
    <w:rsid w:val="00D6762D"/>
    <w:pPr>
      <w:numPr>
        <w:numId w:val="7"/>
      </w:numPr>
    </w:pPr>
  </w:style>
  <w:style w:type="paragraph" w:styleId="List2">
    <w:name w:val="List 2"/>
    <w:basedOn w:val="BodyText"/>
    <w:rsid w:val="00D67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6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6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62D"/>
    <w:pPr>
      <w:numPr>
        <w:numId w:val="3"/>
      </w:numPr>
    </w:pPr>
  </w:style>
  <w:style w:type="paragraph" w:styleId="ListContinue2">
    <w:name w:val="List Continue 2"/>
    <w:basedOn w:val="List2"/>
    <w:rsid w:val="00D6762D"/>
    <w:pPr>
      <w:ind w:firstLine="0"/>
    </w:pPr>
  </w:style>
  <w:style w:type="paragraph" w:styleId="ListContinue3">
    <w:name w:val="List Continue 3"/>
    <w:basedOn w:val="List3"/>
    <w:rsid w:val="00D6762D"/>
    <w:pPr>
      <w:ind w:left="1021" w:firstLine="0"/>
    </w:pPr>
  </w:style>
  <w:style w:type="paragraph" w:styleId="ListContinue4">
    <w:name w:val="List Continue 4"/>
    <w:basedOn w:val="List4"/>
    <w:rsid w:val="00D6762D"/>
    <w:pPr>
      <w:ind w:firstLine="0"/>
    </w:pPr>
  </w:style>
  <w:style w:type="paragraph" w:styleId="ListContinue5">
    <w:name w:val="List Continue 5"/>
    <w:basedOn w:val="List5"/>
    <w:rsid w:val="00D6762D"/>
    <w:pPr>
      <w:ind w:firstLine="0"/>
    </w:pPr>
  </w:style>
  <w:style w:type="paragraph" w:styleId="ListNumber3">
    <w:name w:val="List Number 3"/>
    <w:basedOn w:val="List3"/>
    <w:rsid w:val="00D6762D"/>
    <w:pPr>
      <w:numPr>
        <w:numId w:val="4"/>
      </w:numPr>
    </w:pPr>
  </w:style>
  <w:style w:type="paragraph" w:styleId="ListNumber4">
    <w:name w:val="List Number 4"/>
    <w:basedOn w:val="List4"/>
    <w:rsid w:val="00D6762D"/>
    <w:pPr>
      <w:numPr>
        <w:numId w:val="5"/>
      </w:numPr>
    </w:pPr>
  </w:style>
  <w:style w:type="paragraph" w:styleId="ListNumber5">
    <w:name w:val="List Number 5"/>
    <w:basedOn w:val="List5"/>
    <w:rsid w:val="00D6762D"/>
    <w:pPr>
      <w:numPr>
        <w:numId w:val="6"/>
      </w:numPr>
    </w:pPr>
  </w:style>
  <w:style w:type="paragraph" w:styleId="BlockText">
    <w:name w:val="Block Text"/>
    <w:basedOn w:val="Normal"/>
    <w:rsid w:val="00D67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62D"/>
    <w:rPr>
      <w:sz w:val="16"/>
      <w:vertAlign w:val="superscript"/>
    </w:rPr>
  </w:style>
  <w:style w:type="character" w:customStyle="1" w:styleId="Symbols">
    <w:name w:val="Symbols"/>
    <w:basedOn w:val="DefaultParagraphFont"/>
    <w:rsid w:val="00D6762D"/>
    <w:rPr>
      <w:rFonts w:ascii="Symbol" w:hAnsi="Symbol"/>
    </w:rPr>
  </w:style>
  <w:style w:type="character" w:customStyle="1" w:styleId="MenuOptions">
    <w:name w:val="Menu Options"/>
    <w:basedOn w:val="DefaultParagraphFont"/>
    <w:rsid w:val="00D67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62D"/>
    <w:rPr>
      <w:b/>
    </w:rPr>
  </w:style>
  <w:style w:type="character" w:customStyle="1" w:styleId="Underlined">
    <w:name w:val="Underlined"/>
    <w:basedOn w:val="DefaultParagraphFont"/>
    <w:rsid w:val="00D6762D"/>
    <w:rPr>
      <w:u w:val="single"/>
    </w:rPr>
  </w:style>
  <w:style w:type="paragraph" w:customStyle="1" w:styleId="TableBodyTextRight">
    <w:name w:val="Table Body Text Right"/>
    <w:basedOn w:val="TableBodyText"/>
    <w:rsid w:val="00D67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62D"/>
    <w:rPr>
      <w:sz w:val="18"/>
    </w:rPr>
  </w:style>
  <w:style w:type="paragraph" w:customStyle="1" w:styleId="BodySmallRight">
    <w:name w:val="Body Small Right"/>
    <w:basedOn w:val="BodyTextRight"/>
    <w:rsid w:val="00D6762D"/>
    <w:rPr>
      <w:sz w:val="18"/>
      <w:szCs w:val="18"/>
    </w:rPr>
  </w:style>
  <w:style w:type="paragraph" w:customStyle="1" w:styleId="MarginEdition">
    <w:name w:val="Margin Edition"/>
    <w:basedOn w:val="MarginNote"/>
    <w:rsid w:val="00D67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62D"/>
    <w:rPr>
      <w:sz w:val="2"/>
      <w:szCs w:val="2"/>
    </w:rPr>
  </w:style>
  <w:style w:type="character" w:customStyle="1" w:styleId="Small">
    <w:name w:val="Small"/>
    <w:basedOn w:val="DefaultParagraphFont"/>
    <w:rsid w:val="00D6762D"/>
    <w:rPr>
      <w:sz w:val="16"/>
    </w:rPr>
  </w:style>
  <w:style w:type="paragraph" w:customStyle="1" w:styleId="WideTable">
    <w:name w:val="Wide Table"/>
    <w:basedOn w:val="Normal"/>
    <w:rsid w:val="00D67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62D"/>
  </w:style>
  <w:style w:type="paragraph" w:styleId="Quote">
    <w:name w:val="Quote"/>
    <w:basedOn w:val="Heading1"/>
    <w:link w:val="QuoteChar"/>
    <w:qFormat/>
    <w:rsid w:val="00D67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62D"/>
    <w:pPr>
      <w:pageBreakBefore/>
    </w:pPr>
  </w:style>
  <w:style w:type="paragraph" w:customStyle="1" w:styleId="Border">
    <w:name w:val="Border"/>
    <w:basedOn w:val="Normal"/>
    <w:qFormat/>
    <w:rsid w:val="00D67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62D"/>
    <w:rPr>
      <w:u w:val="single"/>
    </w:rPr>
  </w:style>
  <w:style w:type="character" w:customStyle="1" w:styleId="BoldandItalics">
    <w:name w:val="Bold and Italics"/>
    <w:qFormat/>
    <w:rsid w:val="00D6762D"/>
    <w:rPr>
      <w:b/>
      <w:i/>
      <w:u w:val="none"/>
    </w:rPr>
  </w:style>
  <w:style w:type="paragraph" w:styleId="BalloonText">
    <w:name w:val="Balloon Text"/>
    <w:basedOn w:val="Normal"/>
    <w:link w:val="BalloonTextChar"/>
    <w:rsid w:val="00D67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62D"/>
    <w:pPr>
      <w:spacing w:before="0" w:after="0"/>
    </w:pPr>
  </w:style>
  <w:style w:type="paragraph" w:customStyle="1" w:styleId="BodyTextBold">
    <w:name w:val="Body Text Bold"/>
    <w:basedOn w:val="BodyText"/>
    <w:qFormat/>
    <w:rsid w:val="00D6762D"/>
    <w:rPr>
      <w:b/>
    </w:rPr>
  </w:style>
  <w:style w:type="character" w:styleId="Hyperlink">
    <w:name w:val="Hyperlink"/>
    <w:basedOn w:val="DefaultParagraphFont"/>
    <w:uiPriority w:val="99"/>
    <w:unhideWhenUsed/>
    <w:rsid w:val="00690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3871</Characters>
  <Application>Microsoft Office Word</Application>
  <DocSecurity>0</DocSecurity>
  <Lines>168</Lines>
  <Paragraphs>93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TLIW3034 Apply protective coating systems to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2024-07-12T08:14:00Z</dcterms:modified>
</cp:coreProperties>
</file>