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632" w:rsidP="00627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TLIW3027 Operate minor track equipment</w:t>
      </w:r>
      <w:r>
        <w:fldChar w:fldCharType="end"/>
      </w:r>
    </w:p>
    <w:p w:rsidR="00627632" w:rsidP="00627632">
      <w:pPr>
        <w:pStyle w:val="Version"/>
        <w:sectPr w:rsidSect="00303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39C5" w:rsidP="003039C5">
      <w:pPr>
        <w:pStyle w:val="SuperHeading"/>
      </w:pPr>
      <w:r w:rsidRPr="003039C5">
        <w:t>TLIW3027 Operate minor track equipment</w:t>
      </w:r>
    </w:p>
    <w:p w:rsidR="00000000" w:rsidRPr="003039C5" w:rsidP="003039C5">
      <w:pPr>
        <w:pStyle w:val="Heading1"/>
      </w:pPr>
      <w:bookmarkStart w:id="1" w:name="O_1121363"/>
      <w:bookmarkEnd w:id="1"/>
      <w:r w:rsidRPr="003039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Release 2</w:t>
            </w:r>
            <w:r w:rsidRPr="003039C5">
              <w:t>. This is the second release of this unit of competency in the TLI Transport and Logistics Training Package:</w:t>
            </w:r>
          </w:p>
          <w:p w:rsidR="00000000" w:rsidRPr="003039C5" w:rsidP="003039C5">
            <w:pPr>
              <w:pStyle w:val="ListBullet"/>
            </w:pPr>
            <w:r w:rsidRPr="003039C5">
              <w:t>Minor grammatical statement changes in Performance Evidence</w:t>
            </w:r>
          </w:p>
          <w:p w:rsidR="00000000" w:rsidRPr="003039C5" w:rsidP="003039C5">
            <w:pPr>
              <w:pStyle w:val="ListBullet"/>
            </w:pPr>
            <w:r w:rsidRPr="003039C5">
              <w:t>Minor statement removed in Knowledge Evidence</w:t>
            </w:r>
          </w:p>
          <w:p w:rsidR="00000000" w:rsidP="003039C5">
            <w:pPr>
              <w:pStyle w:val="ListBullet"/>
              <w:rPr>
                <w:lang w:val="en-NZ"/>
              </w:rPr>
            </w:pPr>
            <w:r w:rsidRPr="003039C5">
              <w:t>Minor stat</w:t>
            </w:r>
            <w:r w:rsidRPr="003039C5">
              <w:t>ement changes in Assessment Conditions.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Release 1</w:t>
            </w:r>
            <w:r w:rsidRPr="003039C5">
              <w:t>. This is the first release of this unit of competency in the TLI Transport and Logistics Training Package.</w:t>
            </w:r>
          </w:p>
        </w:tc>
      </w:tr>
    </w:tbl>
    <w:p w:rsidR="00000000" w:rsidRPr="003039C5" w:rsidP="003039C5">
      <w:pPr>
        <w:pStyle w:val="NoPaddingFontSize1"/>
      </w:pPr>
    </w:p>
    <w:p w:rsidR="00000000" w:rsidRPr="003039C5" w:rsidP="003039C5">
      <w:pPr>
        <w:pStyle w:val="AllowPageBreak"/>
      </w:pPr>
    </w:p>
    <w:p w:rsidR="00000000" w:rsidRPr="003039C5" w:rsidP="003039C5">
      <w:pPr>
        <w:pStyle w:val="Heading1"/>
      </w:pPr>
      <w:bookmarkStart w:id="2" w:name="O_1121362"/>
      <w:bookmarkEnd w:id="2"/>
      <w:r w:rsidRPr="003039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t>This unit involves the skills and knowledge required to operate m</w:t>
            </w:r>
            <w:r w:rsidRPr="003039C5">
              <w:t>inor track equipment as part of workplace activities across a variety of rail operational contexts.</w:t>
            </w:r>
          </w:p>
          <w:p w:rsidR="00000000" w:rsidRPr="003039C5" w:rsidP="003039C5">
            <w:pPr>
              <w:pStyle w:val="BodyText"/>
            </w:pPr>
            <w:r w:rsidRPr="003039C5">
              <w:t>It includes performing pre-operational equipment checks; obtaining approval to place on track; preparing, operating and monitoring minor equipment on track;</w:t>
            </w:r>
            <w:r w:rsidRPr="003039C5">
              <w:t xml:space="preserve"> removing equipment from track; performing post-operation equipment procedures; and completing documentation.</w:t>
            </w:r>
          </w:p>
          <w:p w:rsidR="00000000" w:rsidRPr="003039C5" w:rsidP="003039C5">
            <w:pPr>
              <w:pStyle w:val="BodyText"/>
            </w:pPr>
            <w:r w:rsidRPr="003039C5">
              <w:t>The unit covers equipment that can be manually lifted on or off track, including equipment that can be moved and operated on trolleys. Minor track</w:t>
            </w:r>
            <w:r w:rsidRPr="003039C5">
              <w:t xml:space="preserve"> equipment may include:</w:t>
            </w:r>
          </w:p>
          <w:p w:rsidR="00000000" w:rsidRPr="003039C5" w:rsidP="003039C5">
            <w:pPr>
              <w:pStyle w:val="ListBullet2"/>
            </w:pPr>
            <w:r w:rsidRPr="003039C5">
              <w:t>ballast scarifiers</w:t>
            </w:r>
          </w:p>
          <w:p w:rsidR="00000000" w:rsidRPr="003039C5" w:rsidP="003039C5">
            <w:pPr>
              <w:pStyle w:val="ListBullet2"/>
            </w:pPr>
            <w:r w:rsidRPr="003039C5">
              <w:t>dog pullers</w:t>
            </w:r>
          </w:p>
          <w:p w:rsidR="00000000" w:rsidRPr="003039C5" w:rsidP="003039C5">
            <w:pPr>
              <w:pStyle w:val="ListBullet2"/>
            </w:pPr>
            <w:r w:rsidRPr="003039C5">
              <w:t>dog screw setters/drivers</w:t>
            </w:r>
          </w:p>
          <w:p w:rsidR="00000000" w:rsidRPr="003039C5" w:rsidP="003039C5">
            <w:pPr>
              <w:pStyle w:val="ListBullet2"/>
            </w:pPr>
            <w:r w:rsidRPr="003039C5">
              <w:t>joint lifters</w:t>
            </w:r>
          </w:p>
          <w:p w:rsidR="00000000" w:rsidRPr="003039C5" w:rsidP="003039C5">
            <w:pPr>
              <w:pStyle w:val="ListBullet2"/>
            </w:pPr>
            <w:r w:rsidRPr="003039C5">
              <w:t>multi-spindle borers</w:t>
            </w:r>
          </w:p>
          <w:p w:rsidR="00000000" w:rsidRPr="003039C5" w:rsidP="003039C5">
            <w:pPr>
              <w:pStyle w:val="ListBullet2"/>
            </w:pPr>
            <w:r w:rsidRPr="003039C5">
              <w:t>power track jacks</w:t>
            </w:r>
          </w:p>
          <w:p w:rsidR="00000000" w:rsidRPr="003039C5" w:rsidP="003039C5">
            <w:pPr>
              <w:pStyle w:val="ListBullet2"/>
            </w:pPr>
            <w:r w:rsidRPr="003039C5">
              <w:t>rail-mounted compressor</w:t>
            </w:r>
          </w:p>
          <w:p w:rsidR="00000000" w:rsidRPr="003039C5" w:rsidP="003039C5">
            <w:pPr>
              <w:pStyle w:val="ListBullet2"/>
            </w:pPr>
            <w:r w:rsidRPr="003039C5">
              <w:t>small sleeper spacers</w:t>
            </w:r>
          </w:p>
          <w:p w:rsidR="00000000" w:rsidRPr="003039C5" w:rsidP="003039C5">
            <w:pPr>
              <w:pStyle w:val="ListBullet2"/>
            </w:pPr>
            <w:r w:rsidRPr="003039C5">
              <w:t>spike drivers</w:t>
            </w:r>
          </w:p>
          <w:p w:rsidR="00000000" w:rsidRPr="003039C5" w:rsidP="003039C5">
            <w:pPr>
              <w:pStyle w:val="ListBullet2"/>
            </w:pPr>
            <w:r w:rsidRPr="003039C5">
              <w:t>various fastening applicators.</w:t>
            </w:r>
          </w:p>
          <w:p w:rsidR="00000000" w:rsidRPr="003039C5" w:rsidP="003039C5">
            <w:pPr>
              <w:pStyle w:val="BodyText"/>
            </w:pPr>
            <w:r w:rsidRPr="003039C5">
              <w:t>Peop</w:t>
            </w:r>
            <w:r w:rsidRPr="003039C5">
              <w:t>le achieving competence in this unit will need to fulfil the applicable state/territory legislated rail safety requirements and to comply with relevant codes of practice and/or guidelines.</w:t>
            </w:r>
          </w:p>
          <w:p w:rsidR="00000000" w:rsidRPr="003039C5" w:rsidP="003039C5">
            <w:pPr>
              <w:pStyle w:val="BodyText"/>
            </w:pPr>
            <w:r w:rsidRPr="003039C5">
              <w:t>Operators of minor track equipment must have undertaken training an</w:t>
            </w:r>
            <w:r w:rsidRPr="003039C5">
              <w:t>d, where appropriate, hold the relevant licence, permit and/or certification and be recognised as competent for the requirements for the type of equipment being used.</w:t>
            </w:r>
          </w:p>
        </w:tc>
      </w:tr>
    </w:tbl>
    <w:p w:rsidR="00000000" w:rsidRPr="003039C5" w:rsidP="003039C5">
      <w:pPr>
        <w:pStyle w:val="NoPaddingFontSize1"/>
      </w:pPr>
    </w:p>
    <w:p w:rsidR="00000000" w:rsidRPr="003039C5" w:rsidP="003039C5">
      <w:pPr>
        <w:pStyle w:val="AllowPageBreak"/>
      </w:pPr>
    </w:p>
    <w:p w:rsidR="00000000" w:rsidRPr="003039C5" w:rsidP="003039C5">
      <w:pPr>
        <w:pStyle w:val="Heading1"/>
      </w:pPr>
      <w:bookmarkStart w:id="3" w:name="O_1121361"/>
      <w:bookmarkEnd w:id="3"/>
      <w:r w:rsidRPr="003039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t>Not applicable.</w:t>
            </w:r>
          </w:p>
        </w:tc>
      </w:tr>
    </w:tbl>
    <w:p w:rsidR="00000000" w:rsidRPr="003039C5" w:rsidP="003039C5">
      <w:pPr>
        <w:pStyle w:val="NoPaddingFontSize1"/>
      </w:pPr>
    </w:p>
    <w:p w:rsidR="00000000" w:rsidRPr="003039C5" w:rsidP="003039C5">
      <w:pPr>
        <w:pStyle w:val="AllowPageBreak"/>
      </w:pPr>
    </w:p>
    <w:p w:rsidR="00000000" w:rsidRPr="003039C5" w:rsidP="003039C5">
      <w:pPr>
        <w:pStyle w:val="Heading1"/>
      </w:pPr>
      <w:bookmarkStart w:id="4" w:name="O_1121360"/>
      <w:bookmarkEnd w:id="4"/>
      <w:r w:rsidRPr="003039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t>W – Equipment and Systems Operations</w:t>
            </w:r>
          </w:p>
        </w:tc>
      </w:tr>
    </w:tbl>
    <w:p w:rsidR="00000000" w:rsidRPr="003039C5" w:rsidP="003039C5">
      <w:pPr>
        <w:pStyle w:val="NoPaddingFontSize1"/>
      </w:pPr>
    </w:p>
    <w:p w:rsidR="00000000" w:rsidRPr="003039C5" w:rsidP="003039C5">
      <w:pPr>
        <w:pStyle w:val="AllowPageBreak"/>
      </w:pPr>
    </w:p>
    <w:p w:rsidR="00000000" w:rsidRPr="003039C5" w:rsidP="003039C5">
      <w:pPr>
        <w:pStyle w:val="Heading1"/>
      </w:pPr>
      <w:bookmarkStart w:id="5" w:name="O_1121359"/>
      <w:bookmarkEnd w:id="5"/>
      <w:r w:rsidRPr="003039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t>Rail sector.</w:t>
            </w:r>
          </w:p>
        </w:tc>
      </w:tr>
    </w:tbl>
    <w:p w:rsidR="00000000" w:rsidRPr="003039C5" w:rsidP="003039C5">
      <w:pPr>
        <w:pStyle w:val="NoPaddingFontSize1"/>
      </w:pPr>
    </w:p>
    <w:p w:rsidR="00000000" w:rsidRPr="003039C5" w:rsidP="003039C5">
      <w:pPr>
        <w:pStyle w:val="AllowPageBreak"/>
      </w:pPr>
    </w:p>
    <w:p w:rsidR="00000000" w:rsidRPr="003039C5" w:rsidP="003039C5">
      <w:pPr>
        <w:pStyle w:val="Heading1"/>
      </w:pPr>
      <w:bookmarkStart w:id="6" w:name="O_1121358"/>
      <w:bookmarkEnd w:id="6"/>
      <w:r w:rsidRPr="003039C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PERFORMANCE CRITERIA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Performance criteria describe the performance needed to demonstrate achievement of the element.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Perform pre-operational equipment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Detailed pre-operational equipment checks are conducted in accordance with manufacturer specifications and org</w:t>
            </w:r>
            <w:r w:rsidRPr="003039C5">
              <w:t>anisational procedures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Logbooks are checked and completed in accordance with organisational requirements and manufacturer specifications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Problems with equipment are identified and rectified in accordance with workplace procedures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Identified problems are reported and documented in accordance with organisational procedures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Obtain approval to place on track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Protection Officer is identified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Protection Officer or Person In Charge Of Work (PICOW) is contacted to obtain appr</w:t>
            </w:r>
            <w:r w:rsidRPr="003039C5">
              <w:t>oval to place minor equipment on track, and to move to designated track at nominated location in accordance with organisational procedures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Prepare, operate and monitor minor equipment on track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Equipment is travelled to worksite or nominated signal/yard location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Equipment is prepared for work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Equipment is operated in a safe and efficient manner in accordance with relevant codes of practice, safeworking systems, and manufacturer and organisational procedures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Equipment is operated in accordance with organisational standards and specificati</w:t>
            </w:r>
            <w:r w:rsidRPr="003039C5">
              <w:t>ons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Warning systems are monitored and responded to appropriately during operation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Remove equipment from track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Approval is requested from the Protection Officer or PICOW to direct when and where to off track equipment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Equipment is propelled to nominated off-track location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Protection Officer or PICOW is contacted and informed that all equipment is off-tracked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Equipment is left stored in appropriate manner and location to ensure its security and protection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Perform post- operational equipment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Post-operational equipment checks are conducted to identify defects and maintenance requirements in accordance with manufacturer specifications and organisational procedures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Identified problems are reported in accordance with organisational procedures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Post-operating service schedule is performed in accordance with organisational procedures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Logbooks are checked and completed accurately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6.</w:t>
            </w:r>
            <w:r w:rsidRPr="003039C5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t>Documentation is completed accurately in accordance with organisational procedures</w:t>
            </w:r>
          </w:p>
        </w:tc>
      </w:tr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9C5">
            <w:pPr>
              <w:pStyle w:val="BodyText"/>
              <w:rPr>
                <w:lang w:val="en-NZ"/>
              </w:rPr>
            </w:pPr>
            <w:r w:rsidRPr="003039C5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t>Documentation is processed in accordance with organisational procedures</w:t>
            </w:r>
          </w:p>
        </w:tc>
      </w:tr>
    </w:tbl>
    <w:p w:rsidR="00000000" w:rsidRPr="003039C5" w:rsidP="003039C5">
      <w:pPr>
        <w:pStyle w:val="NoPaddingFontSize1"/>
      </w:pPr>
    </w:p>
    <w:p w:rsidR="00000000" w:rsidRPr="003039C5" w:rsidP="003039C5">
      <w:pPr>
        <w:pStyle w:val="AllowPageBreak"/>
      </w:pPr>
    </w:p>
    <w:p w:rsidR="00000000" w:rsidRPr="003039C5" w:rsidP="003039C5">
      <w:pPr>
        <w:pStyle w:val="Heading1"/>
      </w:pPr>
      <w:bookmarkStart w:id="7" w:name="O_1121357"/>
      <w:bookmarkEnd w:id="7"/>
      <w:r w:rsidRPr="003039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t>Foundation skills essential to perfor</w:t>
            </w:r>
            <w:r w:rsidRPr="003039C5">
              <w:t>mance are explicit in the performance criteria of this unit of competency.</w:t>
            </w:r>
          </w:p>
        </w:tc>
      </w:tr>
    </w:tbl>
    <w:p w:rsidR="00000000" w:rsidRPr="003039C5" w:rsidP="003039C5">
      <w:pPr>
        <w:pStyle w:val="NoPaddingFontSize1"/>
      </w:pPr>
    </w:p>
    <w:p w:rsidR="00000000" w:rsidRPr="003039C5" w:rsidP="003039C5">
      <w:pPr>
        <w:pStyle w:val="AllowPageBreak"/>
      </w:pPr>
    </w:p>
    <w:p w:rsidR="00000000" w:rsidRPr="003039C5" w:rsidP="003039C5">
      <w:pPr>
        <w:pStyle w:val="Heading1"/>
      </w:pPr>
      <w:bookmarkStart w:id="8" w:name="O_1121356"/>
      <w:bookmarkEnd w:id="8"/>
      <w:r w:rsidRPr="003039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t>Range is restricted to essential operating conditions and any other variables essential to the work environment.</w:t>
            </w:r>
          </w:p>
        </w:tc>
      </w:tr>
    </w:tbl>
    <w:p w:rsidR="00000000" w:rsidRPr="003039C5" w:rsidP="003039C5">
      <w:pPr>
        <w:pStyle w:val="NoPaddingFontSize1"/>
      </w:pPr>
    </w:p>
    <w:p w:rsidR="00000000" w:rsidRPr="003039C5" w:rsidP="003039C5">
      <w:pPr>
        <w:pStyle w:val="AllowPageBreak"/>
      </w:pPr>
    </w:p>
    <w:p w:rsidR="00000000" w:rsidRPr="003039C5" w:rsidP="003039C5">
      <w:pPr>
        <w:pStyle w:val="Heading1"/>
      </w:pPr>
      <w:bookmarkStart w:id="9" w:name="O_1121355"/>
      <w:bookmarkEnd w:id="9"/>
      <w:r w:rsidRPr="003039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9C5" w:rsidP="003039C5">
            <w:pPr>
              <w:pStyle w:val="BodyText"/>
            </w:pPr>
            <w:r w:rsidRPr="003039C5">
              <w:t>This unit replaces and is equivalent to TLIW3027A Operate minor track equipment.</w:t>
            </w:r>
          </w:p>
        </w:tc>
      </w:tr>
    </w:tbl>
    <w:p w:rsidR="00000000" w:rsidRPr="003039C5" w:rsidP="003039C5">
      <w:pPr>
        <w:pStyle w:val="NoPaddingFontSize1"/>
      </w:pPr>
    </w:p>
    <w:p w:rsidR="00000000" w:rsidRPr="003039C5" w:rsidP="003039C5">
      <w:pPr>
        <w:pStyle w:val="AllowPageBreak"/>
      </w:pPr>
    </w:p>
    <w:p w:rsidR="00000000" w:rsidRPr="003039C5" w:rsidP="003039C5">
      <w:pPr>
        <w:pStyle w:val="Heading1"/>
      </w:pPr>
      <w:bookmarkStart w:id="10" w:name="O_1121364"/>
      <w:bookmarkEnd w:id="10"/>
      <w:r w:rsidRPr="003039C5">
        <w:t>Links</w:t>
      </w:r>
    </w:p>
    <w:p w:rsidR="00000000" w:rsidRPr="003039C5" w:rsidP="00627632">
      <w:pPr>
        <w:pStyle w:val="BodyText"/>
      </w:pPr>
      <w:r w:rsidRPr="003039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2152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039C5" w:rsidP="003039C5"/>
    <w:sectPr w:rsidSect="00303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C5" w:rsidRPr="00627632" w:rsidP="00627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32" w:rsidP="00303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632" w:rsidP="00303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27632" w:rsidP="00303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9C5" w:rsidRPr="00627632" w:rsidP="00627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32" w:rsidRPr="002D2AF8" w:rsidP="00303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TLIW3027 Operate minor 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27632" w:rsidP="00303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C0E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445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CC3B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9C5"/>
  </w:style>
  <w:style w:type="character" w:customStyle="1" w:styleId="Heading1Char">
    <w:name w:val="Heading 1 Char"/>
    <w:basedOn w:val="DefaultParagraphFont"/>
    <w:link w:val="Heading1"/>
    <w:rsid w:val="00303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9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9C5"/>
    <w:rPr>
      <w:b/>
      <w:spacing w:val="0"/>
    </w:rPr>
  </w:style>
  <w:style w:type="paragraph" w:styleId="ListBullet2">
    <w:name w:val="List Bullet 2"/>
    <w:basedOn w:val="List2"/>
    <w:rsid w:val="003039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3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3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9C5"/>
    <w:rPr>
      <w:i/>
    </w:rPr>
  </w:style>
  <w:style w:type="paragraph" w:styleId="Caption">
    <w:name w:val="caption"/>
    <w:basedOn w:val="BodyText"/>
    <w:next w:val="Normal"/>
    <w:qFormat/>
    <w:rsid w:val="00303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9C5"/>
  </w:style>
  <w:style w:type="paragraph" w:styleId="TableofFigures">
    <w:name w:val="table of figures"/>
    <w:basedOn w:val="Normal"/>
    <w:next w:val="Normal"/>
    <w:semiHidden/>
    <w:rsid w:val="00303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9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39C5"/>
    <w:rPr>
      <w:rFonts w:ascii="Wingdings" w:hAnsi="Wingdings"/>
    </w:rPr>
  </w:style>
  <w:style w:type="paragraph" w:customStyle="1" w:styleId="TableHeading">
    <w:name w:val="Table Heading"/>
    <w:basedOn w:val="HeadingBase"/>
    <w:rsid w:val="00303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9C5"/>
    <w:rPr>
      <w:color w:val="0033CC"/>
      <w:u w:val="none"/>
    </w:rPr>
  </w:style>
  <w:style w:type="paragraph" w:customStyle="1" w:styleId="BodyTextRight">
    <w:name w:val="Body Text Right"/>
    <w:basedOn w:val="BodyText"/>
    <w:rsid w:val="00303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9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9C5"/>
    <w:rPr>
      <w:sz w:val="32"/>
    </w:rPr>
  </w:style>
  <w:style w:type="paragraph" w:customStyle="1" w:styleId="HeadingProcedure">
    <w:name w:val="Heading Procedure"/>
    <w:basedOn w:val="HeadingBase"/>
    <w:next w:val="Normal"/>
    <w:rsid w:val="00303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9C5"/>
    <w:pPr>
      <w:spacing w:before="60" w:after="60"/>
    </w:pPr>
  </w:style>
  <w:style w:type="paragraph" w:styleId="ListContinue">
    <w:name w:val="List Continue"/>
    <w:basedOn w:val="List"/>
    <w:rsid w:val="003039C5"/>
    <w:pPr>
      <w:ind w:firstLine="0"/>
    </w:pPr>
  </w:style>
  <w:style w:type="paragraph" w:customStyle="1" w:styleId="ListNote">
    <w:name w:val="List Note"/>
    <w:basedOn w:val="List"/>
    <w:rsid w:val="00303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9C5"/>
    <w:rPr>
      <w:rFonts w:ascii="Courier New" w:hAnsi="Courier New"/>
    </w:rPr>
  </w:style>
  <w:style w:type="paragraph" w:customStyle="1" w:styleId="NoteBullet">
    <w:name w:val="Note Bullet"/>
    <w:basedOn w:val="Note"/>
    <w:rsid w:val="00303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9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3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9C5"/>
    <w:rPr>
      <w:b/>
      <w:smallCaps/>
    </w:rPr>
  </w:style>
  <w:style w:type="paragraph" w:customStyle="1" w:styleId="TableListNumber">
    <w:name w:val="Table List Number"/>
    <w:basedOn w:val="ListNumber"/>
    <w:rsid w:val="00303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9C5"/>
    <w:pPr>
      <w:numPr>
        <w:numId w:val="9"/>
      </w:numPr>
    </w:pPr>
  </w:style>
  <w:style w:type="paragraph" w:customStyle="1" w:styleId="ListAlpha2">
    <w:name w:val="List Alpha 2"/>
    <w:basedOn w:val="List2"/>
    <w:rsid w:val="003039C5"/>
    <w:pPr>
      <w:numPr>
        <w:numId w:val="8"/>
      </w:numPr>
    </w:pPr>
  </w:style>
  <w:style w:type="paragraph" w:styleId="List2">
    <w:name w:val="List 2"/>
    <w:basedOn w:val="BodyText"/>
    <w:rsid w:val="00303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9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9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39C5"/>
    <w:pPr>
      <w:numPr>
        <w:numId w:val="4"/>
      </w:numPr>
    </w:pPr>
  </w:style>
  <w:style w:type="paragraph" w:styleId="ListContinue2">
    <w:name w:val="List Continue 2"/>
    <w:basedOn w:val="List2"/>
    <w:rsid w:val="003039C5"/>
    <w:pPr>
      <w:ind w:firstLine="0"/>
    </w:pPr>
  </w:style>
  <w:style w:type="paragraph" w:styleId="ListContinue3">
    <w:name w:val="List Continue 3"/>
    <w:basedOn w:val="List3"/>
    <w:rsid w:val="003039C5"/>
    <w:pPr>
      <w:ind w:left="1021" w:firstLine="0"/>
    </w:pPr>
  </w:style>
  <w:style w:type="paragraph" w:styleId="ListContinue4">
    <w:name w:val="List Continue 4"/>
    <w:basedOn w:val="List4"/>
    <w:rsid w:val="003039C5"/>
    <w:pPr>
      <w:ind w:firstLine="0"/>
    </w:pPr>
  </w:style>
  <w:style w:type="paragraph" w:styleId="ListContinue5">
    <w:name w:val="List Continue 5"/>
    <w:basedOn w:val="List5"/>
    <w:rsid w:val="003039C5"/>
    <w:pPr>
      <w:ind w:firstLine="0"/>
    </w:pPr>
  </w:style>
  <w:style w:type="paragraph" w:styleId="ListNumber3">
    <w:name w:val="List Number 3"/>
    <w:basedOn w:val="List3"/>
    <w:rsid w:val="003039C5"/>
    <w:pPr>
      <w:numPr>
        <w:numId w:val="5"/>
      </w:numPr>
    </w:pPr>
  </w:style>
  <w:style w:type="paragraph" w:styleId="ListNumber4">
    <w:name w:val="List Number 4"/>
    <w:basedOn w:val="List4"/>
    <w:rsid w:val="003039C5"/>
    <w:pPr>
      <w:numPr>
        <w:numId w:val="6"/>
      </w:numPr>
    </w:pPr>
  </w:style>
  <w:style w:type="paragraph" w:styleId="ListNumber5">
    <w:name w:val="List Number 5"/>
    <w:basedOn w:val="List5"/>
    <w:rsid w:val="003039C5"/>
    <w:pPr>
      <w:numPr>
        <w:numId w:val="7"/>
      </w:numPr>
    </w:pPr>
  </w:style>
  <w:style w:type="paragraph" w:styleId="BlockText">
    <w:name w:val="Block Text"/>
    <w:basedOn w:val="Normal"/>
    <w:rsid w:val="00303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9C5"/>
    <w:rPr>
      <w:sz w:val="16"/>
      <w:vertAlign w:val="superscript"/>
    </w:rPr>
  </w:style>
  <w:style w:type="character" w:customStyle="1" w:styleId="Symbols">
    <w:name w:val="Symbols"/>
    <w:basedOn w:val="DefaultParagraphFont"/>
    <w:rsid w:val="003039C5"/>
    <w:rPr>
      <w:rFonts w:ascii="Symbol" w:hAnsi="Symbol"/>
    </w:rPr>
  </w:style>
  <w:style w:type="character" w:customStyle="1" w:styleId="MenuOptions">
    <w:name w:val="Menu Options"/>
    <w:basedOn w:val="DefaultParagraphFont"/>
    <w:rsid w:val="00303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9C5"/>
    <w:rPr>
      <w:b/>
    </w:rPr>
  </w:style>
  <w:style w:type="character" w:customStyle="1" w:styleId="Underlined">
    <w:name w:val="Underlined"/>
    <w:basedOn w:val="DefaultParagraphFont"/>
    <w:rsid w:val="003039C5"/>
    <w:rPr>
      <w:u w:val="single"/>
    </w:rPr>
  </w:style>
  <w:style w:type="paragraph" w:customStyle="1" w:styleId="TableBodyTextRight">
    <w:name w:val="Table Body Text Right"/>
    <w:basedOn w:val="TableBodyText"/>
    <w:rsid w:val="00303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9C5"/>
    <w:rPr>
      <w:sz w:val="18"/>
    </w:rPr>
  </w:style>
  <w:style w:type="paragraph" w:customStyle="1" w:styleId="BodySmallRight">
    <w:name w:val="Body Small Right"/>
    <w:basedOn w:val="BodyTextRight"/>
    <w:rsid w:val="003039C5"/>
    <w:rPr>
      <w:sz w:val="18"/>
      <w:szCs w:val="18"/>
    </w:rPr>
  </w:style>
  <w:style w:type="paragraph" w:customStyle="1" w:styleId="MarginEdition">
    <w:name w:val="Margin Edition"/>
    <w:basedOn w:val="MarginNote"/>
    <w:rsid w:val="00303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9C5"/>
    <w:rPr>
      <w:sz w:val="2"/>
      <w:szCs w:val="2"/>
    </w:rPr>
  </w:style>
  <w:style w:type="character" w:customStyle="1" w:styleId="Small">
    <w:name w:val="Small"/>
    <w:basedOn w:val="DefaultParagraphFont"/>
    <w:rsid w:val="003039C5"/>
    <w:rPr>
      <w:sz w:val="16"/>
    </w:rPr>
  </w:style>
  <w:style w:type="paragraph" w:customStyle="1" w:styleId="WideTable">
    <w:name w:val="Wide Table"/>
    <w:basedOn w:val="Normal"/>
    <w:rsid w:val="00303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9C5"/>
  </w:style>
  <w:style w:type="paragraph" w:styleId="Quote">
    <w:name w:val="Quote"/>
    <w:basedOn w:val="Heading1"/>
    <w:link w:val="QuoteChar"/>
    <w:qFormat/>
    <w:rsid w:val="00303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9C5"/>
    <w:pPr>
      <w:pageBreakBefore/>
    </w:pPr>
  </w:style>
  <w:style w:type="paragraph" w:customStyle="1" w:styleId="Border">
    <w:name w:val="Border"/>
    <w:basedOn w:val="Normal"/>
    <w:qFormat/>
    <w:rsid w:val="00303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9C5"/>
    <w:rPr>
      <w:u w:val="single"/>
    </w:rPr>
  </w:style>
  <w:style w:type="character" w:customStyle="1" w:styleId="BoldandItalics">
    <w:name w:val="Bold and Italics"/>
    <w:qFormat/>
    <w:rsid w:val="003039C5"/>
    <w:rPr>
      <w:b/>
      <w:i/>
      <w:u w:val="none"/>
    </w:rPr>
  </w:style>
  <w:style w:type="paragraph" w:styleId="BalloonText">
    <w:name w:val="Balloon Text"/>
    <w:basedOn w:val="Normal"/>
    <w:link w:val="BalloonTextChar"/>
    <w:rsid w:val="00303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9C5"/>
    <w:pPr>
      <w:spacing w:before="0" w:after="0"/>
    </w:pPr>
  </w:style>
  <w:style w:type="paragraph" w:customStyle="1" w:styleId="BodyTextBold">
    <w:name w:val="Body Text Bold"/>
    <w:basedOn w:val="BodyText"/>
    <w:qFormat/>
    <w:rsid w:val="003039C5"/>
    <w:rPr>
      <w:b/>
    </w:rPr>
  </w:style>
  <w:style w:type="character" w:styleId="Hyperlink">
    <w:name w:val="Hyperlink"/>
    <w:basedOn w:val="DefaultParagraphFont"/>
    <w:uiPriority w:val="99"/>
    <w:unhideWhenUsed/>
    <w:rsid w:val="00627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4470</Characters>
  <Application>Microsoft Office Word</Application>
  <DocSecurity>0</DocSecurity>
  <Lines>212</Lines>
  <Paragraphs>117</Paragraphs>
  <ScaleCrop>false</ScaleCrop>
  <Company>Author-it Software Corporation Ltd.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TLIW3027 Operate minor track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